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-195580</wp:posOffset>
            </wp:positionV>
            <wp:extent cx="2374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26670</wp:posOffset>
            </wp:positionV>
            <wp:extent cx="2374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9"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18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3519170</wp:posOffset>
            </wp:positionH>
            <wp:positionV relativeFrom="paragraph">
              <wp:posOffset>-5080</wp:posOffset>
            </wp:positionV>
            <wp:extent cx="1609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9090" cy="8890"/>
                    </a:xfrm>
                    <a:prstGeom prst="rect">
                      <a:avLst/>
                    </a:prstGeom>
                    <a:noFill/>
                  </pic:spPr>
                </pic:pic>
              </a:graphicData>
            </a:graphic>
          </wp:anchor>
        </w:drawing>
      </w: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001-13490</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MIND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-266065</wp:posOffset>
            </wp:positionV>
            <wp:extent cx="3634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141605</wp:posOffset>
            </wp:positionV>
            <wp:extent cx="3634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780" w:type="dxa"/>
            <w:vAlign w:val="bottom"/>
            <w:gridSpan w:val="2"/>
          </w:tcPr>
          <w:p>
            <w:pPr>
              <w:jc w:val="center"/>
              <w:ind w:left="17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spacing w:after="0"/>
              <w:rPr>
                <w:sz w:val="18"/>
                <w:szCs w:val="18"/>
                <w:color w:val="auto"/>
              </w:rPr>
            </w:pPr>
          </w:p>
        </w:tc>
        <w:tc>
          <w:tcPr>
            <w:tcW w:w="31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76-0210849</w:t>
            </w:r>
          </w:p>
        </w:tc>
        <w:tc>
          <w:tcPr>
            <w:tcW w:w="0" w:type="dxa"/>
            <w:vAlign w:val="bottom"/>
          </w:tcPr>
          <w:p>
            <w:pPr>
              <w:spacing w:after="0"/>
              <w:rPr>
                <w:sz w:val="1"/>
                <w:szCs w:val="1"/>
                <w:color w:val="auto"/>
              </w:rPr>
            </w:pPr>
          </w:p>
        </w:tc>
      </w:tr>
      <w:tr>
        <w:trPr>
          <w:trHeight w:val="148"/>
        </w:trPr>
        <w:tc>
          <w:tcPr>
            <w:tcW w:w="3780" w:type="dxa"/>
            <w:vAlign w:val="bottom"/>
            <w:gridSpan w:val="2"/>
          </w:tcPr>
          <w:p>
            <w:pPr>
              <w:jc w:val="center"/>
              <w:ind w:left="17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80" w:type="dxa"/>
            <w:vAlign w:val="bottom"/>
          </w:tcPr>
          <w:p>
            <w:pPr>
              <w:spacing w:after="0"/>
              <w:rPr>
                <w:sz w:val="12"/>
                <w:szCs w:val="12"/>
                <w:color w:val="auto"/>
              </w:rPr>
            </w:pPr>
          </w:p>
        </w:tc>
        <w:tc>
          <w:tcPr>
            <w:tcW w:w="3140" w:type="dxa"/>
            <w:vAlign w:val="bottom"/>
            <w:gridSpan w:val="2"/>
          </w:tcPr>
          <w:p>
            <w:pPr>
              <w:jc w:val="center"/>
              <w:ind w:right="15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80" w:type="dxa"/>
            <w:vAlign w:val="bottom"/>
            <w:gridSpan w:val="2"/>
          </w:tcPr>
          <w:p>
            <w:pPr>
              <w:jc w:val="center"/>
              <w:ind w:left="17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2002 Timberloch Place</w:t>
            </w:r>
          </w:p>
        </w:tc>
        <w:tc>
          <w:tcPr>
            <w:tcW w:w="31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8"/>
              </w:rPr>
              <w:t>The Woodlands, Texas 77380</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80" w:type="dxa"/>
            <w:vAlign w:val="bottom"/>
          </w:tcPr>
          <w:p>
            <w:pPr>
              <w:jc w:val="center"/>
              <w:ind w:right="117"/>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(281) 353-4475</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telephone number, including area code)</w:t>
            </w:r>
          </w:p>
        </w:tc>
        <w:tc>
          <w:tcPr>
            <w:tcW w:w="8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7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88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auto"/>
              </w:rPr>
              <w:t>Trading Symbol(s)</w:t>
            </w:r>
          </w:p>
        </w:tc>
        <w:tc>
          <w:tcPr>
            <w:tcW w:w="31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12"/>
        </w:trPr>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 $0.01 par value per share</w:t>
            </w:r>
          </w:p>
        </w:tc>
        <w:tc>
          <w:tcPr>
            <w:tcW w:w="3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8"/>
              </w:rPr>
              <w:t>MIND</w:t>
            </w:r>
          </w:p>
        </w:tc>
        <w:tc>
          <w:tcPr>
            <w:tcW w:w="314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4"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9,089,055 shares of common stock, $0.01 par value, were outstanding as of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gridSpan w:val="11"/>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0" w:type="dxa"/>
            <w:vAlign w:val="bottom"/>
            <w:gridSpan w:val="11"/>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0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0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78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April 30, 2026 and January 31, 2026</w:t>
            </w: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April 30, 2026 and 2025</w:t>
            </w:r>
          </w:p>
        </w:tc>
        <w:tc>
          <w:tcPr>
            <w:tcW w:w="1520" w:type="dxa"/>
            <w:vAlign w:val="bottom"/>
            <w:gridSpan w:val="3"/>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 for the Three Months Ended April 30, 2026 and 2025</w:t>
            </w:r>
          </w:p>
        </w:tc>
        <w:tc>
          <w:tcPr>
            <w:tcW w:w="82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April 30, 2026 and 2025</w:t>
            </w:r>
          </w:p>
        </w:tc>
        <w:tc>
          <w:tcPr>
            <w:tcW w:w="82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April 30, 2026 and 2025</w:t>
            </w:r>
          </w:p>
        </w:tc>
        <w:tc>
          <w:tcPr>
            <w:tcW w:w="82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2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about Forward-Looking Statements</w:t>
            </w: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4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84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gridSpan w:val="11"/>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8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2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5"/>
          </w:tcPr>
          <w:p>
            <w:pPr>
              <w:spacing w:after="0"/>
              <w:rPr>
                <w:sz w:val="24"/>
                <w:szCs w:val="24"/>
                <w:color w:val="auto"/>
              </w:rPr>
            </w:pPr>
          </w:p>
        </w:tc>
        <w:tc>
          <w:tcPr>
            <w:tcW w:w="3240" w:type="dxa"/>
            <w:vAlign w:val="bottom"/>
            <w:gridSpan w:val="6"/>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24"/>
                <w:szCs w:val="24"/>
                <w:color w:val="auto"/>
              </w:rPr>
            </w:pPr>
          </w:p>
        </w:tc>
        <w:tc>
          <w:tcPr>
            <w:tcW w:w="7880" w:type="dxa"/>
            <w:vAlign w:val="bottom"/>
            <w:gridSpan w:val="16"/>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24"/>
                <w:szCs w:val="24"/>
                <w:color w:val="auto"/>
              </w:rPr>
            </w:pPr>
          </w:p>
        </w:tc>
        <w:tc>
          <w:tcPr>
            <w:tcW w:w="486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44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4"/>
          </w:tcPr>
          <w:p>
            <w:pPr>
              <w:spacing w:after="0"/>
              <w:rPr>
                <w:sz w:val="24"/>
                <w:szCs w:val="24"/>
                <w:color w:val="auto"/>
              </w:rPr>
            </w:pPr>
          </w:p>
        </w:tc>
        <w:tc>
          <w:tcPr>
            <w:tcW w:w="790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040" w:type="dxa"/>
            <w:vAlign w:val="bottom"/>
          </w:tcPr>
          <w:p>
            <w:pPr>
              <w:spacing w:after="0"/>
              <w:rPr>
                <w:sz w:val="24"/>
                <w:szCs w:val="24"/>
                <w:color w:val="auto"/>
              </w:rPr>
            </w:pPr>
          </w:p>
        </w:tc>
        <w:tc>
          <w:tcPr>
            <w:tcW w:w="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8220" w:type="dxa"/>
            <w:vAlign w:val="bottom"/>
            <w:gridSpan w:val="18"/>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23</w:t>
            </w:r>
          </w:p>
        </w:tc>
      </w:tr>
      <w:tr>
        <w:trPr>
          <w:trHeight w:val="412"/>
        </w:trPr>
        <w:tc>
          <w:tcPr>
            <w:tcW w:w="1040" w:type="dxa"/>
            <w:vAlign w:val="bottom"/>
          </w:tcPr>
          <w:p>
            <w:pPr>
              <w:spacing w:after="0"/>
              <w:rPr>
                <w:sz w:val="24"/>
                <w:szCs w:val="24"/>
                <w:color w:val="auto"/>
              </w:rPr>
            </w:pPr>
          </w:p>
        </w:tc>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24</w:t>
            </w:r>
          </w:p>
        </w:tc>
      </w:tr>
      <w:tr>
        <w:trPr>
          <w:trHeight w:val="453"/>
        </w:trPr>
        <w:tc>
          <w:tcPr>
            <w:tcW w:w="10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7"/>
          </w:tcPr>
          <w:p>
            <w:pPr>
              <w:jc w:val="center"/>
              <w:ind w:right="4380"/>
              <w:spacing w:after="0"/>
              <w:rPr>
                <w:sz w:val="20"/>
                <w:szCs w:val="20"/>
                <w:color w:val="auto"/>
              </w:rPr>
            </w:pPr>
            <w:r>
              <w:rPr>
                <w:rFonts w:ascii="Times New Roman" w:cs="Times New Roman" w:eastAsia="Times New Roman" w:hAnsi="Times New Roman"/>
                <w:sz w:val="18"/>
                <w:szCs w:val="18"/>
                <w:color w:val="auto"/>
                <w:w w:val="99"/>
              </w:rPr>
              <w:t>ii</w:t>
            </w:r>
          </w:p>
        </w:tc>
        <w:tc>
          <w:tcPr>
            <w:tcW w:w="8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00" w:type="dxa"/>
            <w:vAlign w:val="bottom"/>
          </w:tcPr>
          <w:p>
            <w:pPr>
              <w:spacing w:after="0"/>
              <w:rPr>
                <w:sz w:val="24"/>
                <w:szCs w:val="24"/>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17,656</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19,050</w:t>
            </w: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$332 at each of April 30, 2026 and January</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31, 2026</w:t>
            </w: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44,884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50,763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49,266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left="17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10"/>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 shares authorized; 9,089 shares issued and outstanding at April</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 2026 and at January 31, 2026</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149,508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148,990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41,524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41,417</w:t>
            </w: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50,763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49,266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484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84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10"/>
        </w:trPr>
        <w:tc>
          <w:tcPr>
            <w:tcW w:w="128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48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7,902</w:t>
            </w: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3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4,571</w:t>
            </w:r>
          </w:p>
        </w:tc>
      </w:tr>
      <w:tr>
        <w:trPr>
          <w:trHeight w:val="209"/>
        </w:trPr>
        <w:tc>
          <w:tcPr>
            <w:tcW w:w="41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r>
      <w:tr>
        <w:trPr>
          <w:trHeight w:val="216"/>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41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3,989</w:t>
            </w: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38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41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5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48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196"/>
        </w:trPr>
        <w:tc>
          <w:tcPr>
            <w:tcW w:w="41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Shares used in computing net loss per common share:</w:t>
            </w:r>
          </w:p>
        </w:tc>
        <w:tc>
          <w:tcPr>
            <w:tcW w:w="3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6"/>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38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7,969</w:t>
            </w:r>
          </w:p>
        </w:tc>
      </w:tr>
      <w:tr>
        <w:trPr>
          <w:trHeight w:val="20"/>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7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2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10"/>
        </w:trPr>
        <w:tc>
          <w:tcPr>
            <w:tcW w:w="12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3"/>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04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3,969</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Unbilled revenue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09"/>
        </w:trPr>
        <w:tc>
          <w:tcPr>
            <w:tcW w:w="80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9"/>
        </w:trPr>
        <w:tc>
          <w:tcPr>
            <w:tcW w:w="8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 on cash and cash equivalents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5,336</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0"/>
        </w:trPr>
        <w:tc>
          <w:tcPr>
            <w:tcW w:w="2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5"/>
        </w:trPr>
        <w:tc>
          <w:tcPr>
            <w:tcW w:w="232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January 31, 2026</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9,089</w:t>
            </w:r>
          </w:p>
        </w:tc>
        <w:tc>
          <w:tcPr>
            <w:tcW w:w="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148,990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(107,698</w:t>
            </w: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41,417</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03"/>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r>
      <w:tr>
        <w:trPr>
          <w:trHeight w:val="19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April 30, 2026</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9,089</w:t>
            </w:r>
          </w:p>
        </w:tc>
        <w:tc>
          <w:tcPr>
            <w:tcW w:w="5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17"/>
                <w:szCs w:val="17"/>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149,508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(108,109</w:t>
            </w: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41,524</w:t>
            </w: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0"/>
        </w:trPr>
        <w:tc>
          <w:tcPr>
            <w:tcW w:w="2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5"/>
        </w:trPr>
        <w:tc>
          <w:tcPr>
            <w:tcW w:w="232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January 31, 2025</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7,969</w:t>
            </w:r>
          </w:p>
        </w:tc>
        <w:tc>
          <w:tcPr>
            <w:tcW w:w="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135,666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(108,448)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27,332</w:t>
            </w: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03"/>
        </w:trPr>
        <w:tc>
          <w:tcPr>
            <w:tcW w:w="2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r>
      <w:tr>
        <w:trPr>
          <w:trHeight w:val="196"/>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April 30, 2025</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7,969</w:t>
            </w:r>
          </w:p>
        </w:tc>
        <w:tc>
          <w:tcPr>
            <w:tcW w:w="5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135,938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(109,418)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26,634</w:t>
            </w: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Liquidity and Summary of Significant Accounting Policies</w:t>
      </w:r>
    </w:p>
    <w:p>
      <w:pPr>
        <w:spacing w:after="0" w:line="227"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—MIND Technology, Inc., a Delaware corporation (the “Company”), was incorporated in 1987. The Company, through its wholly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subsidiaries, Seamap Pte Ltd, MIND Maritime Acoustics, LLC, Seamap (Malaysia) Sdn Bhd and Seamap (UK) Ltd, collectively “Seamap”, designs, manufactures and sells a broad range of proprietary products for the seismic, hydrographic and offshore industries with product sales and support facilities based in Singapore, Malaysia, the United Kingdom and the state of Texas.</w:t>
      </w:r>
    </w:p>
    <w:p>
      <w:pPr>
        <w:spacing w:after="0" w:line="180"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—As of April 30, 2026, the Company had working capital of approximately $37.8 million, including cash and cash equivalents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$17.7 million, compared to working capital of approximately $37.4 million, including cash and cash equivalents of approximately $19.1 million as of January 31, 2026. The Company has a trade finance facility with HSBC Singapore for the issuance from time-to-time of letters of credit or bank guarantees for up to $5.0 million. As of June 10, 2026, there has been no activity associated with the trade facility. The Company believes it will have adequate liquidity to meet its future operating requirements through a combination of cash on hand, cash expected to be generated from operations and disciplined working capital management.</w:t>
      </w:r>
    </w:p>
    <w:p>
      <w:pPr>
        <w:spacing w:after="0" w:line="182" w:lineRule="exact"/>
        <w:rPr>
          <w:sz w:val="20"/>
          <w:szCs w:val="20"/>
          <w:color w:val="auto"/>
        </w:rPr>
      </w:pPr>
    </w:p>
    <w:p>
      <w:pPr>
        <w:ind w:right="18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—We describe our significant accounting policies in Note</w:t>
      </w:r>
      <w:r>
        <w:rPr>
          <w:rFonts w:ascii="Times New Roman" w:cs="Times New Roman" w:eastAsia="Times New Roman" w:hAnsi="Times New Roman"/>
          <w:sz w:val="18"/>
          <w:szCs w:val="18"/>
          <w:i w:val="1"/>
          <w:iCs w:val="1"/>
          <w:color w:val="auto"/>
        </w:rPr>
        <w:t xml:space="preserve"> 1 </w:t>
      </w:r>
      <w:r>
        <w:rPr>
          <w:rFonts w:ascii="Times New Roman" w:cs="Times New Roman" w:eastAsia="Times New Roman" w:hAnsi="Times New Roman"/>
          <w:sz w:val="18"/>
          <w:szCs w:val="18"/>
          <w:color w:val="auto"/>
        </w:rPr>
        <w:t>of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 our Annual Report on Form 10-K for the fiscal year ended January 31, 2026. During the three months ended April 30, 2026, there were no changes to those accounting policies.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2026, for the Company has been derived from audited consolidated financial statements. The unaudited interim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These condensed consolidated financial statements should be read in conjunction with the consolidated financial statements and the related notes included in the Company’s Annual Report on Form 10-K for the year ended January 31, 2026 (“fiscal 2026”). In the opinion of the Company’s management, all adjustments, consisting only of normal recurring adjustments, necessary to present fairly the financial position as of April 30, 2026, the results of operations for the three-months ended April 30, 2026 and 2025, the cash flows for the three months ended April 30, 2026 and 2025, and the statement of stockholders’ equity for the three-months ended April 30, 2026 and 2025, have been included in these condensed consolidated financial statements. The foregoing interim results are not necessarily indicative of the results of operations to be expected for the full fiscal year ending January 31, 2027 (“fiscal 2027”).</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("ASU 2024-03"), to enhance the disclosures public entities provide regarding specified information about certain costs and expenses at each interim and annual reporting period so that investors can better understand an entity’s overall performance, including its cost structure, and assess potential future cash flows. ASU 2024-03 is effective for the Company for annual periods beginning February 1, 2027, and interim periods within fiscal years beginning February 1, 2028. The Company is evaluating the new guidance to determine the impact it will have on the disclosures to its consolidated financial statements.</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intends to improve the guidance for interim reporting and clarify when that guidance is applicable. ASU 2025-11 provides a comprehensive list of required disclosures and also requires entities to disclose events since the last annual reporting period that have a material impact on the entity. ASU 2025-11 is effective for the Company for annual periods beginning February 1, 2027, and interim periods within fiscal years beginning February 1, 2028. The Company is evaluating the new guidance to determine the impact it will have on the disclosures to its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09"/>
        </w:trPr>
        <w:tc>
          <w:tcPr>
            <w:tcW w:w="80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recognized at a point in time:</w:t>
            </w:r>
          </w:p>
        </w:tc>
        <w:tc>
          <w:tcPr>
            <w:tcW w:w="9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shd w:val="clear" w:color="auto" w:fill="CCEEFF"/>
          </w:tcPr>
          <w:p>
            <w:pPr>
              <w:spacing w:after="0"/>
              <w:rPr>
                <w:sz w:val="18"/>
                <w:szCs w:val="18"/>
                <w:color w:val="auto"/>
              </w:rPr>
            </w:pPr>
          </w:p>
        </w:tc>
      </w:tr>
      <w:tr>
        <w:trPr>
          <w:trHeight w:val="25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9,055</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7,556</w:t>
            </w:r>
          </w:p>
        </w:tc>
      </w:tr>
      <w:tr>
        <w:trPr>
          <w:trHeight w:val="196"/>
        </w:trPr>
        <w:tc>
          <w:tcPr>
            <w:tcW w:w="8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over time:</w:t>
            </w: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6"/>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7,902</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2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geography, based on the location of our customers' headquarters: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7,902</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ind w:right="160" w:firstLine="486"/>
        <w:spacing w:after="0" w:line="274" w:lineRule="auto"/>
        <w:rPr>
          <w:sz w:val="20"/>
          <w:szCs w:val="20"/>
          <w:color w:val="auto"/>
        </w:rPr>
      </w:pPr>
      <w:r>
        <w:rPr>
          <w:rFonts w:ascii="Times New Roman" w:cs="Times New Roman" w:eastAsia="Times New Roman" w:hAnsi="Times New Roman"/>
          <w:sz w:val="17"/>
          <w:szCs w:val="17"/>
          <w:color w:val="auto"/>
        </w:rPr>
        <w:t>The revenue from products manufactured and sold by our Seamap business is generally recognized at a point in time, or when the customer takes possession of the product, based on the terms and conditions stipulated in our contracts with customers. However, revenue is recognized over time when our Seamap business provides repair and maintenance services, or performs upgrades, on customer-owned equipment, which occurs periodically. In addition, our Seamap business provides annual Software Maintenance Agreements (“SMAs”) to customers who have an active license for software embedded in Seamap products. The revenue from SMAs is recognized over time, with the total value of the SMAs amortized in equal monthly amounts over the life of the contract. The duration of SMAs is typically one year or less. We do not have elements of variable consideration within these contracts.</w:t>
      </w:r>
    </w:p>
    <w:p>
      <w:pPr>
        <w:spacing w:after="0" w:line="17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As of April 30, 2026 and January 31, 2026, due to the nature of our contracts and the services and products we provide, there were no significant outstanding liability balances for refunds or returns. Our warranties are limited to assurance warranties that are of a standard length and are not considered to be material rights. For the three months ended April 30, 2026 and April 30, 2025, we did not recognize revenue from performance obligations satisfied in a prior period.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Prepayments and deferred revenue on SMAs have a significant impact on our contract liabilities. Considering the products manufactured and sold by our Seamap business and the Company’s standard contract terms and conditions, we expect our contract assets and liabilities to turn over, on average, within a three to six-month period. We do not have any long-term service contracts or related long-term contract assets or liabilities. Costs to obtain and fulfill contracts are considered immaterial and are expensed during the period when incurred. Contract liabilities increased by approximately $208,000 during the three months ended April 30, 2026 due primarily to additional deferred revenue during the current fiscal year.</w:t>
      </w:r>
    </w:p>
    <w:p>
      <w:pPr>
        <w:spacing w:after="0" w:line="3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30, 2026, and April 30, 2025, contract assets and liabilities consisted of the following:</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April 30, 2025</w:t>
            </w:r>
          </w:p>
        </w:tc>
        <w:tc>
          <w:tcPr>
            <w:tcW w:w="0" w:type="dxa"/>
            <w:vAlign w:val="bottom"/>
          </w:tcPr>
          <w:p>
            <w:pPr>
              <w:spacing w:after="0"/>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accrued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billed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unbilled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Contract Liabilities: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recognized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revenue &amp; customer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520" w:firstLine="450"/>
        <w:spacing w:after="0" w:line="266" w:lineRule="auto"/>
        <w:rPr>
          <w:sz w:val="20"/>
          <w:szCs w:val="20"/>
          <w:color w:val="auto"/>
        </w:rPr>
      </w:pPr>
      <w:r>
        <w:rPr>
          <w:rFonts w:ascii="Times New Roman" w:cs="Times New Roman" w:eastAsia="Times New Roman" w:hAnsi="Times New Roman"/>
          <w:sz w:val="18"/>
          <w:szCs w:val="18"/>
          <w:color w:val="auto"/>
        </w:rPr>
        <w:t>With respect to the presentation of contract assets and liabilities above, sales and transaction-based taxes are excluded from revenue. Also, we expense costs incurred to obtain contracts because the amortization period would be one year or less. These costs are recorded in selling, general and administrative expenses.</w:t>
      </w:r>
    </w:p>
    <w:p>
      <w:pPr>
        <w:sectPr>
          <w:pgSz w:w="11900" w:h="16838" w:orient="portrait"/>
          <w:cols w:equalWidth="0" w:num="1">
            <w:col w:w="11240"/>
          </w:cols>
          <w:pgMar w:left="320" w:top="121" w:right="339" w:bottom="11"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23"/>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5. Balance Sheet</w:t>
            </w:r>
          </w:p>
        </w:tc>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10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7,218</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10"/>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inventories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allowance for obsolescence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49"/>
        </w:trPr>
        <w:tc>
          <w:tcPr>
            <w:tcW w:w="840" w:type="dxa"/>
            <w:vAlign w:val="bottom"/>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10,977</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r>
      <w:tr>
        <w:trPr>
          <w:trHeight w:val="413"/>
        </w:trPr>
        <w:tc>
          <w:tcPr>
            <w:tcW w:w="840" w:type="dxa"/>
            <w:vAlign w:val="bottom"/>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16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100" w:type="dxa"/>
            <w:vAlign w:val="bottom"/>
            <w:tcBorders>
              <w:top w:val="single" w:sz="8" w:color="CCEEFF"/>
            </w:tcBorders>
          </w:tcPr>
          <w:p>
            <w:pPr>
              <w:spacing w:after="0"/>
              <w:rPr>
                <w:sz w:val="24"/>
                <w:szCs w:val="24"/>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8,769</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216"/>
        </w:trPr>
        <w:tc>
          <w:tcPr>
            <w:tcW w:w="84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Autos and trucks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Land and buildings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10"/>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property and equipment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r>
      <w:tr>
        <w:trPr>
          <w:trHeight w:val="216"/>
        </w:trPr>
        <w:tc>
          <w:tcPr>
            <w:tcW w:w="8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w:t>
            </w: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18"/>
          <w:szCs w:val="18"/>
          <w:color w:val="auto"/>
        </w:rPr>
        <w:t>As of January 31, 2026, the Company completed an annual review of property and equipment noting no indications that the recorded value of assets may not be recoverable, and no impairment was recorded for fiscal 2026. Since January 31, 2026, there have been no changes to the market, economic or legal environment in which the Company operates or overall performance of the Company, that would, in the aggregate, indicate additional impairment analysis is necessary as of April 30, 2026. Depreciation expense on property and equipment for the three months ended April 30, 2026 and April 30, 2025 was approximately $115,000 and $77,000,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The Company has certain non-cancelable operating lease agreements for office, production and warehouse space in Texas, Singapore, Malaysia, and the United Kingdom.</w:t>
      </w:r>
    </w:p>
    <w:p>
      <w:pPr>
        <w:spacing w:after="0" w:line="162"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Lease expense for the three months ended April 30, 2026, was approximately $232,000. Lease expense for the three months ended April 30, 2025, was approximately $232,000, and was recorded as a component of operating income.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April 30, 2026 and January 31, 2026 was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7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Lease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10"/>
        </w:trPr>
        <w:tc>
          <w:tcPr>
            <w:tcW w:w="20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910</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2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910</w:t>
            </w:r>
          </w:p>
        </w:tc>
        <w:tc>
          <w:tcPr>
            <w:tcW w:w="40" w:type="dxa"/>
            <w:vAlign w:val="bottom"/>
          </w:tcPr>
          <w:p>
            <w:pPr>
              <w:spacing w:after="0"/>
              <w:rPr>
                <w:sz w:val="18"/>
                <w:szCs w:val="18"/>
                <w:color w:val="auto"/>
              </w:rPr>
            </w:pPr>
          </w:p>
        </w:tc>
        <w:tc>
          <w:tcPr>
            <w:tcW w:w="8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Classification of lease liabilities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655</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200" w:type="dxa"/>
            <w:vAlign w:val="bottom"/>
          </w:tcPr>
          <w:p>
            <w:pPr>
              <w:spacing w:after="0"/>
              <w:rPr>
                <w:sz w:val="18"/>
                <w:szCs w:val="18"/>
                <w:color w:val="auto"/>
              </w:rPr>
            </w:pPr>
          </w:p>
        </w:tc>
        <w:tc>
          <w:tcPr>
            <w:tcW w:w="7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50"/>
        </w:trPr>
        <w:tc>
          <w:tcPr>
            <w:tcW w:w="200" w:type="dxa"/>
            <w:vAlign w:val="bottom"/>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910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412"/>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Lease-term and discount rate details as of April 30, 2026 and January 31, 2026 were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09"/>
        </w:trPr>
        <w:tc>
          <w:tcPr>
            <w:tcW w:w="20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6"/>
              </w:rPr>
              <w:t>15%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discount rate was calculated using the Company's weighted average cost of capital.</w:t>
      </w:r>
    </w:p>
    <w:p>
      <w:pPr>
        <w:sectPr>
          <w:pgSz w:w="11900" w:h="16838" w:orient="portrait"/>
          <w:cols w:equalWidth="0" w:num="1">
            <w:col w:w="11320"/>
          </w:cols>
          <w:pgMar w:left="320" w:top="108" w:right="259" w:bottom="1440" w:gutter="0" w:footer="0" w:header="0"/>
        </w:sect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08" w:right="2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8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was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bottom w:val="single" w:sz="8" w:color="auto"/>
            </w:tcBorders>
            <w:gridSpan w:val="1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auto"/>
            </w:tcBorders>
            <w:gridSpan w:val="3"/>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5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lease balances resulting from new and modified leases: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414"/>
        </w:trPr>
        <w:tc>
          <w:tcPr>
            <w:tcW w:w="3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w:t>
            </w: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April 30, 2026 were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Borders>
              <w:top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under lease agreements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0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Life at</w:t>
            </w: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6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rights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(4,884)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(2,362)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15,525</w:t>
            </w:r>
          </w:p>
        </w:tc>
        <w:tc>
          <w:tcPr>
            <w:tcW w:w="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15,528</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On January 31, 2026, the Company completed an annual review of amortizable intangible assets. Based on a review of qualitative factors, it was determined that there were no events or changes in circumstances indicating that the carrying value of amortizable intangible assets was not recoverable. During the three months ended April 30, 2026, there have been no substantive indicators of impairment.</w:t>
      </w:r>
    </w:p>
    <w:p>
      <w:pPr>
        <w:spacing w:after="0" w:line="176" w:lineRule="exact"/>
        <w:rPr>
          <w:sz w:val="20"/>
          <w:szCs w:val="20"/>
          <w:color w:val="auto"/>
        </w:rPr>
      </w:pPr>
    </w:p>
    <w:p>
      <w:pPr>
        <w:ind w:right="740" w:firstLine="450"/>
        <w:spacing w:after="0" w:line="282" w:lineRule="auto"/>
        <w:rPr>
          <w:sz w:val="20"/>
          <w:szCs w:val="20"/>
          <w:color w:val="auto"/>
        </w:rPr>
      </w:pPr>
      <w:r>
        <w:rPr>
          <w:rFonts w:ascii="Times New Roman" w:cs="Times New Roman" w:eastAsia="Times New Roman" w:hAnsi="Times New Roman"/>
          <w:sz w:val="18"/>
          <w:szCs w:val="18"/>
          <w:color w:val="auto"/>
        </w:rPr>
        <w:t>Aggregate amortization expense was approximately $113,000 and $148,000 for the three months ended April 30, 2026, and April 30, 2025, respectively. As of April 30, 2026, future estimated amortization expense related to amortizable intangible assets was estimated to be: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fiscal years ending January 31,</w:t>
            </w:r>
          </w:p>
        </w:tc>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86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60" w:type="dxa"/>
            <w:vAlign w:val="bottom"/>
          </w:tcPr>
          <w:p>
            <w:pPr>
              <w:spacing w:after="0"/>
              <w:rPr>
                <w:sz w:val="18"/>
                <w:szCs w:val="18"/>
                <w:color w:val="auto"/>
              </w:rPr>
            </w:pPr>
          </w:p>
        </w:tc>
      </w:tr>
      <w:tr>
        <w:trPr>
          <w:trHeight w:val="250"/>
        </w:trPr>
        <w:tc>
          <w:tcPr>
            <w:tcW w:w="840" w:type="dxa"/>
            <w:vAlign w:val="bottom"/>
          </w:tcPr>
          <w:p>
            <w:pPr>
              <w:spacing w:after="0"/>
              <w:rPr>
                <w:sz w:val="21"/>
                <w:szCs w:val="21"/>
                <w:color w:val="auto"/>
              </w:rPr>
            </w:pPr>
          </w:p>
        </w:tc>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60" w:type="dxa"/>
            <w:vAlign w:val="bottom"/>
          </w:tcPr>
          <w:p>
            <w:pPr>
              <w:spacing w:after="0"/>
              <w:rPr>
                <w:sz w:val="21"/>
                <w:szCs w:val="21"/>
                <w:color w:val="auto"/>
              </w:rPr>
            </w:pPr>
          </w:p>
        </w:tc>
      </w:tr>
      <w:tr>
        <w:trPr>
          <w:trHeight w:val="412"/>
        </w:trPr>
        <w:tc>
          <w:tcPr>
            <w:tcW w:w="84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4520" w:type="dxa"/>
            <w:vAlign w:val="bottom"/>
            <w:tcBorders>
              <w:top w:val="single" w:sz="8" w:color="CCEEFF"/>
            </w:tcBorders>
          </w:tcPr>
          <w:p>
            <w:pPr>
              <w:jc w:val="right"/>
              <w:ind w:right="317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For the three-month period ended April 30, 2026, our income tax expense was approximately $476,000 on pre-tax income of approximately $65,000. For the three-month period ended April 30, 2025, the income tax expense was approximately $294,000, on a pre-tax loss of approximately $676,000. The variance between our actual provision and the expected provision when applying the U.S. statutory rate of 21% is due primarily to the impact of income taxes accrued in certain foreign jurisdictions, mainly Singapore, which do not have net operating losses available to offset taxable income, and because we do not benefit from tax losses in the U.S. and certain foreign jurisdictions where we have valuation allowances recorded against our deferred tax assets. Valuation allowances have been provided against all deferred tax assets in the United States and certain foreign jurisdictions, including the United Kingdom.</w:t>
      </w:r>
    </w:p>
    <w:p>
      <w:pPr>
        <w:spacing w:after="0" w:line="189"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This legislation introduces several measures, including the permanent extension of select provisions from the Tax Cuts and Jobs Act, revisions to the international tax framework, and the reinstatement of favorable tax treatment for certain business-related items. The OBBBA contains multiple effective dates, with key provisions beginning in fiscal 2026. While we are still assessing the overall impact of the OBBBA, we do not anticipate a material impact on our tax expense.</w:t>
      </w:r>
    </w:p>
    <w:p>
      <w:pPr>
        <w:spacing w:after="0" w:line="180"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as well as separate returns for its foreign subsidiaries within their local jurisdictions. The Company's U.S. federal tax returns are subject to examination by the Internal Revenue Service for fiscal years ended January 31, 2022 through 2026. The Company’s tax returns may also be subject to examination by state and local tax authorities for fiscal years ending January 31, 2021 through 2026. The Company's Singapore income tax returns are subject to examination by the Singapore tax authorities for the fiscal years ended January 31, 2018, through 2026. The Company’s tax returns in other foreign jurisdictions are generally subject to examination for the fiscal years ended January 31, 2019 through 2026.</w:t>
      </w:r>
    </w:p>
    <w:p>
      <w:pPr>
        <w:spacing w:after="0" w:line="187" w:lineRule="exact"/>
        <w:rPr>
          <w:sz w:val="20"/>
          <w:szCs w:val="20"/>
          <w:color w:val="auto"/>
        </w:rPr>
      </w:pPr>
    </w:p>
    <w:p>
      <w:pPr>
        <w:ind w:right="280" w:firstLine="45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undistributed earnings of foreign subsidiaries are not deemed to be indefinitely reinvested outside of the United States as of April 30, 2026. Furthermore, the Company has concluded that any deferred taxes with respect to the undistributed foreign earnings would be immaterial. Therefore, the Company has not recorded a deferred tax liability associated with the undistributed foreign earnings as of April 30, 2026.</w:t>
      </w:r>
    </w:p>
    <w:p>
      <w:pPr>
        <w:spacing w:after="0" w:line="180" w:lineRule="exact"/>
        <w:rPr>
          <w:sz w:val="20"/>
          <w:szCs w:val="20"/>
          <w:color w:val="auto"/>
        </w:rPr>
      </w:pPr>
    </w:p>
    <w:p>
      <w:pPr>
        <w:ind w:right="560" w:firstLine="45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April 30, 2026 and 2025, the Company did not recognize any tax expense or benefit related to uncertain tax positions.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Net income per basic common share is computed using the weighted average number of common shares outstanding during the period, excluding unvested restricted stock. Net income per diluted common share is computed using the weighted average number of common shares and dilutive potential common shares outstanding during the period using the treasury stock method. Potential common shares result from the assumed exercise of outstanding common stock options having a dilutive effect and from the assumed vesting of unvested shares of restricted stock. For the three months ended April 30, 2026 and April 30, 2025, dilutive potential common shares outstanding had no effect on the calculation of earnings per share. The total basic weighted average common shares outstanding for the three months ended April 30, 2026, and April 30, 2025, was approximately 9.1 million and 8.0 million shares,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28, 2025, the Company entered into an equity distribution agreement (the “Sales Agreement”) with Lucid Capital Markets,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LLC (“Lucid”), pursuant to which the Company may offer and sell up to $25.0 million of shares of the Company’s common stock, par value $0.01 per share, through an at-the-market (“ATM”) offering program administered by Lucid. Under the Sales Agreement, Lucid is entitled to compensation of up to 2% of the gross proceeds from the sale of Shares (the "Shares") under the ATM offering program. The Company has no obligation to sell any of the Shares under the Sales Agreement and may suspend solicitations and offers under the Sales Agreement at any time. During the three months ended April 30, 2026, the Company did not have any activity related to the Sales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w:t>
      </w:r>
    </w:p>
    <w:p>
      <w:pPr>
        <w:spacing w:after="0" w:line="229"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In February 2025, the Company retained Lucid to provide advisor and arrangement services (the "Services Agreement") for investigation and analysis of opportunities for growth and additional scale. During fiscal 2026, Lucid received $100,000 in retainer fees for such potential services. The Vice Chairman of Lucid is the Non-Executive Chairman of the Company's board of directors (the "Board"). Our Non-Executive Chairman of the Board received no portion of the above-mentioned compensation.</w:t>
      </w:r>
    </w:p>
    <w:p>
      <w:pPr>
        <w:spacing w:after="0" w:line="180"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30, 2026, the Company did not have any activity related to the Sales Agreement or the Services Agreement and no compensation related to either agreement was received by Lucid.</w:t>
      </w:r>
    </w:p>
    <w:p>
      <w:pPr>
        <w:sectPr>
          <w:pgSz w:w="11900" w:h="16838" w:orient="portrait"/>
          <w:cols w:equalWidth="0" w:num="1">
            <w:col w:w="11220"/>
          </w:cols>
          <w:pgMar w:left="320" w:top="121"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and Stock-Based Compensation</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Total compensation expense recognized for stock-based awards granted under the Company’s equity incentive plan during the three-month periods ended April 30, 2026 and April 30, 2025, was approximately $518,000 and $272,000,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Seamap is the Company’s sole reportable segment and contains the following product and service lines:</w:t>
      </w:r>
    </w:p>
    <w:p>
      <w:pPr>
        <w:spacing w:after="0" w:line="225" w:lineRule="exact"/>
        <w:rPr>
          <w:sz w:val="20"/>
          <w:szCs w:val="20"/>
          <w:color w:val="auto"/>
        </w:rPr>
      </w:pPr>
    </w:p>
    <w:p>
      <w:pPr>
        <w:ind w:left="1360" w:hanging="110"/>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GunLink seismic source acquisition and control systems</w:t>
      </w:r>
    </w:p>
    <w:p>
      <w:pPr>
        <w:spacing w:after="0" w:line="27" w:lineRule="exact"/>
        <w:rPr>
          <w:rFonts w:ascii="Times New Roman" w:cs="Times New Roman" w:eastAsia="Times New Roman" w:hAnsi="Times New Roman"/>
          <w:sz w:val="18"/>
          <w:szCs w:val="18"/>
          <w:color w:val="auto"/>
        </w:rPr>
      </w:pPr>
    </w:p>
    <w:p>
      <w:pPr>
        <w:ind w:left="1360" w:hanging="110"/>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BuoyLink relative global navigation satellite positioning systems</w:t>
      </w:r>
    </w:p>
    <w:p>
      <w:pPr>
        <w:spacing w:after="0" w:line="9" w:lineRule="exact"/>
        <w:rPr>
          <w:rFonts w:ascii="Times New Roman" w:cs="Times New Roman" w:eastAsia="Times New Roman" w:hAnsi="Times New Roman"/>
          <w:sz w:val="18"/>
          <w:szCs w:val="18"/>
          <w:color w:val="auto"/>
        </w:rPr>
      </w:pPr>
    </w:p>
    <w:p>
      <w:pPr>
        <w:ind w:left="1360" w:hanging="110"/>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SeaLink marine sensors and solid streamer systems</w:t>
      </w:r>
    </w:p>
    <w:p>
      <w:pPr>
        <w:spacing w:after="0" w:line="207"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Our Seamap segment provides services and products, including engineering, repairs and software licensing, utilized in marine exploration, marine survey and maritime security for marine survey companies, seismic survey contractors, research institutes, non-military government organizations and operators of port facilities and other offshore installations.</w:t>
      </w:r>
    </w:p>
    <w:p>
      <w:pPr>
        <w:spacing w:after="0" w:line="17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Our CODM analyzes segment performance using revenue and operating income. Inter-company revenue and expenses have been eliminated in the reported revenue and operating income. Our CODM considers revenue and operating income in the annual budgeting and forecasting process and analyzes these on a periodic basis when making determinations on the allocation of resources.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by business segment is set forth below net of any allocations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Seamap</w:t>
            </w:r>
          </w:p>
        </w:tc>
        <w:tc>
          <w:tcPr>
            <w:tcW w:w="1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Seamap</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bl>
    <w:p>
      <w:pPr>
        <w:spacing w:after="0" w:line="198" w:lineRule="exact"/>
        <w:rPr>
          <w:sz w:val="20"/>
          <w:szCs w:val="20"/>
          <w:color w:val="auto"/>
        </w:rPr>
      </w:pPr>
    </w:p>
    <w:p>
      <w:pPr>
        <w:jc w:val="both"/>
        <w:ind w:right="40" w:firstLine="486"/>
        <w:spacing w:after="0" w:line="282" w:lineRule="auto"/>
        <w:rPr>
          <w:sz w:val="20"/>
          <w:szCs w:val="20"/>
          <w:color w:val="auto"/>
        </w:rPr>
      </w:pPr>
      <w:r>
        <w:rPr>
          <w:rFonts w:ascii="Times New Roman" w:cs="Times New Roman" w:eastAsia="Times New Roman" w:hAnsi="Times New Roman"/>
          <w:sz w:val="18"/>
          <w:szCs w:val="18"/>
          <w:color w:val="auto"/>
        </w:rPr>
        <w:t>Corporate selling, general and administrative expense primarily includes salary and benefit costs of corporate personnel, directors’ fees, professional services, office rent, and insurance premiums.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operating income (loss) to income (loss) before income taxes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Seamap</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assets by business segment is set forth below (in thousands):</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April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Seamap</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50,763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Depreciation expense on property and equipment, reflected in the table above, was approximately $115,000 and $77,000 for the three months ended April 30, 2026 and April 30, 2025, respectively. Amortization expense primarily relating to intangible assets, reflected in the table above was approximately $113,000 for the three months ended April 30, 2026 and approximately $148,000 for the three months ended April 30, 2025. Essentially all depreciation and amortization expense relates to the Seamap segment.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All property and equipment is allocated to the Seamap segment. Corporate assets primarily consist of cash, right of use assets for an operating lease, and prepaid corporate expenses.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Geographic Operating Areas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is based on the location of our customers. See Note 4-"Revenue from Contracts with Customers" for disclosure of revenue by geographic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ABOUT FORWARD-LOOKING STATEMENTS</w:t>
      </w:r>
    </w:p>
    <w:p>
      <w:pPr>
        <w:spacing w:after="0" w:line="22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“Form 10-Q”) may constitute “forward-looking statements” within the meaning of the Private Securities Litigation Reform Act of 1995. All statements contained in this Form 10-Q other than statements of historical fact, including statements regarding our future results of operations and financial position, our business strategy and plans, and our objectives for future operations, are forward-looking statements. The words “believe,” “expect,” “may,” “will,” “anticipate,” “plan,” “intend,” “foresee,” “should,” “would,” “could” or other similar expressions are intended to identify forward-looking statements, which are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of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ind w:left="460" w:right="340" w:hanging="331"/>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manufacturing operations including availability and reliability of materials and components as well the reliability of the products that we manufacture and sell;</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customers;</w:t>
      </w:r>
    </w:p>
    <w:p>
      <w:pPr>
        <w:spacing w:after="0" w:line="9" w:lineRule="exact"/>
        <w:rPr>
          <w:rFonts w:ascii="Times New Roman" w:cs="Times New Roman" w:eastAsia="Times New Roman" w:hAnsi="Times New Roman"/>
          <w:sz w:val="18"/>
          <w:szCs w:val="18"/>
          <w:color w:val="auto"/>
        </w:rPr>
      </w:pPr>
    </w:p>
    <w:p>
      <w:pPr>
        <w:ind w:left="460" w:right="4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in global supply chains due to various factors, including certain components and materials becoming unavailable, increased lead times for components and materials, as well as increased costs for such items;</w:t>
      </w:r>
    </w:p>
    <w:p>
      <w:pPr>
        <w:ind w:left="46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demands from suppliers for advance payments could increase our need for working capital; inability to access such working capital could impede our ability to complete orders;</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suppliers;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claims by third parties;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uncertainty in financial markets on our customers’ and our ability to obtain financing;</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strategic initiatives to grow our business;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our foreign operations, including political, economic, currency, environmental regulation and export compliance risks;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due to circumstances beyond our control or that of our customers;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customers on amounts due to us;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 of our long-lived assets due to technological obsolescence or changes in anticipated cash flow generated from those assets;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funding or to obtain funding under acceptable terms;</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price volatility in the global economy that could negatively impact our business and results of operations;</w:t>
      </w:r>
    </w:p>
    <w:p>
      <w:pPr>
        <w:spacing w:after="0" w:line="9" w:lineRule="exact"/>
        <w:rPr>
          <w:rFonts w:ascii="Times New Roman" w:cs="Times New Roman" w:eastAsia="Times New Roman" w:hAnsi="Times New Roman"/>
          <w:sz w:val="18"/>
          <w:szCs w:val="18"/>
          <w:color w:val="auto"/>
        </w:rPr>
      </w:pPr>
    </w:p>
    <w:p>
      <w:pPr>
        <w:ind w:left="460" w:right="580" w:hanging="331"/>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future geopolitical events, which we cannot predict but which may adversely affect the markets in which we operate, our operations, or our results of operations; and</w:t>
      </w:r>
    </w:p>
    <w:p>
      <w:pPr>
        <w:ind w:left="460" w:hanging="33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to our business from security threats, including cybersecurity threats, and other disruptions.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additional information regarding known material factors that could cause our actual results to differ materially from our projected results, please see</w:t>
      </w:r>
    </w:p>
    <w:p>
      <w:pPr>
        <w:spacing w:after="0" w:line="29" w:lineRule="exact"/>
        <w:rPr>
          <w:sz w:val="20"/>
          <w:szCs w:val="20"/>
          <w:color w:val="auto"/>
        </w:rPr>
      </w:pPr>
    </w:p>
    <w:p>
      <w:pPr>
        <w:ind w:right="260" w:firstLine="8"/>
        <w:spacing w:after="0" w:line="260" w:lineRule="auto"/>
        <w:tabs>
          <w:tab w:leader="none" w:pos="2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Form 10-Q, (2) 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January 31, 2026, and (3)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other filings filed with the SEC from time to time.</w:t>
      </w:r>
    </w:p>
    <w:p>
      <w:pPr>
        <w:spacing w:after="0" w:line="17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There may be other factors of which the Company is not currently aware that may affect matters discussed in the forward-looking statements and may also cause actual results to differ materially from those discussed. Readers are cautioned not to place undue reliance on forward-looking statements, which speak only as of the date hereof. We undertake no obligation to publicly update or revise any forward-looking statement after the date they are made, whether as the result of new information, future events or otherwise, except as required by law. All forward-looking statements included herein are expressly qualified in their entirety by the cautionary statements contained or referred to in this section.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Management believes that the performance of our Seamap segment is indicated by revenues from sales of products and by gross profit from those sales. Management monitors EBITDA and Adjusted EBITDA, both as defined and reconciled to the most directly comparable financial measures calculated and presented in accordance with United States generally accepted accounting principles (“GAAP”), in the following table, as key indicators of our overall performance and liquidity.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09"/>
        </w:trPr>
        <w:tc>
          <w:tcPr>
            <w:tcW w:w="8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loss to EBITDA and Adjusted EBITDA</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(1)</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197"/>
        </w:trPr>
        <w:tc>
          <w:tcPr>
            <w:tcW w:w="80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Cash (Used in) Provided by Operating Activities to EBITDA</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of refunds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accounts payable, accrued expenses and other current liabilities, deferred revenue and customer</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and long-term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EBITDA (1)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8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580" w:hanging="329"/>
        <w:spacing w:after="0" w:line="25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to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variety of products used primarily in seismic and marine survey industries. Seamap’s primary products include (i) the GunLink seismic source acquisition and control systems; (ii) the BuoyLink RGPS tracking system used to provide precise positioning of seismic sources and streamers (marine recording channels that are towed behind a vessel) and (iii) SeaLink marine sensors and solid streamer systems (collectively, the “SeaLink” product line or “towed streamer products”). These towed streamer products are primarily designed for three-dimensional, high-resolution marine surveys in marine survey applications.</w:t>
      </w:r>
    </w:p>
    <w:p>
      <w:pPr>
        <w:spacing w:after="0" w:line="183" w:lineRule="exact"/>
        <w:rPr>
          <w:sz w:val="20"/>
          <w:szCs w:val="20"/>
          <w:color w:val="auto"/>
        </w:rPr>
      </w:pPr>
    </w:p>
    <w:p>
      <w:pPr>
        <w:jc w:val="both"/>
        <w:ind w:right="580" w:firstLine="450"/>
        <w:spacing w:after="0" w:line="282" w:lineRule="auto"/>
        <w:rPr>
          <w:sz w:val="20"/>
          <w:szCs w:val="20"/>
          <w:color w:val="auto"/>
        </w:rPr>
      </w:pPr>
      <w:r>
        <w:rPr>
          <w:rFonts w:ascii="Times New Roman" w:cs="Times New Roman" w:eastAsia="Times New Roman" w:hAnsi="Times New Roman"/>
          <w:sz w:val="18"/>
          <w:szCs w:val="18"/>
          <w:color w:val="auto"/>
        </w:rPr>
        <w:t>Our results of operations can experience fluctuations in activity levels due to a number of factors outside of our control. These factors include budgetary or financial concerns, supply chain issues, labor issues, inclement weather, and geopolitical events. See Part II, Item 1A- “Risk Factors.”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Outlook</w:t>
      </w:r>
    </w:p>
    <w:p>
      <w:pPr>
        <w:spacing w:after="0" w:line="229" w:lineRule="exact"/>
        <w:rPr>
          <w:sz w:val="20"/>
          <w:szCs w:val="20"/>
          <w:color w:val="auto"/>
        </w:rPr>
      </w:pPr>
    </w:p>
    <w:p>
      <w:pPr>
        <w:ind w:right="120" w:firstLine="414"/>
        <w:spacing w:after="0" w:line="282" w:lineRule="auto"/>
        <w:rPr>
          <w:sz w:val="20"/>
          <w:szCs w:val="20"/>
          <w:color w:val="auto"/>
        </w:rPr>
      </w:pPr>
      <w:r>
        <w:rPr>
          <w:rFonts w:ascii="Times New Roman" w:cs="Times New Roman" w:eastAsia="Times New Roman" w:hAnsi="Times New Roman"/>
          <w:sz w:val="18"/>
          <w:szCs w:val="18"/>
          <w:color w:val="auto"/>
        </w:rPr>
        <w:t>Our financial performance has improved significantly in recent periods, evidenced by the fact that we generated operating income in each of the past three fiscal years. This has been due to increased demand within our primary markets and efforts to reduce costs and improve product margins.</w:t>
      </w:r>
    </w:p>
    <w:p>
      <w:pPr>
        <w:spacing w:after="0" w:line="162" w:lineRule="exact"/>
        <w:rPr>
          <w:sz w:val="20"/>
          <w:szCs w:val="20"/>
          <w:color w:val="auto"/>
        </w:rPr>
      </w:pPr>
    </w:p>
    <w:p>
      <w:pPr>
        <w:ind w:right="20" w:firstLine="414"/>
        <w:spacing w:after="0" w:line="256" w:lineRule="auto"/>
        <w:rPr>
          <w:sz w:val="20"/>
          <w:szCs w:val="20"/>
          <w:color w:val="auto"/>
        </w:rPr>
      </w:pPr>
      <w:r>
        <w:rPr>
          <w:rFonts w:ascii="Times New Roman" w:cs="Times New Roman" w:eastAsia="Times New Roman" w:hAnsi="Times New Roman"/>
          <w:sz w:val="18"/>
          <w:szCs w:val="18"/>
          <w:color w:val="auto"/>
        </w:rPr>
        <w:t>Recently, we have experienced decreased visibility for future business activity, as partially indicated by decreased firm backlog as discussed below. We believe this is due in large part to uncertainties in the marine exploration and survey markets. Global economic, political and security concerns have, in our opinion, contributed to this uncertainty. As an example, certain of our customers have experienced disruptions in operations due to the current conflict in the Middle East. However, we believe these disruptions are temporary and that the longer-term outlook in the marine exploration and survey market is quite positive. Certain of our customers have recently reported increasing backlogs and many industry commentators predict a strong resurgence in marine exploration and survey activity.</w:t>
      </w:r>
    </w:p>
    <w:p>
      <w:pPr>
        <w:spacing w:after="0" w:line="187" w:lineRule="exact"/>
        <w:rPr>
          <w:sz w:val="20"/>
          <w:szCs w:val="20"/>
          <w:color w:val="auto"/>
        </w:rPr>
      </w:pPr>
    </w:p>
    <w:p>
      <w:pPr>
        <w:ind w:right="160" w:firstLine="414"/>
        <w:spacing w:after="0" w:line="256" w:lineRule="auto"/>
        <w:rPr>
          <w:sz w:val="20"/>
          <w:szCs w:val="20"/>
          <w:color w:val="auto"/>
        </w:rPr>
      </w:pPr>
      <w:r>
        <w:rPr>
          <w:rFonts w:ascii="Times New Roman" w:cs="Times New Roman" w:eastAsia="Times New Roman" w:hAnsi="Times New Roman"/>
          <w:sz w:val="18"/>
          <w:szCs w:val="18"/>
          <w:color w:val="auto"/>
        </w:rPr>
        <w:t>As of April 30, 2026, our backlog of firm orders was approximately $7.6 million, compared to approximately $13.9 million as of January 31, 2026. We believe a significant portion of our current backlog will be completed and shipped by the end of fiscal 2027. In addition to our backlog of firm orders, we have a significant pipeline of pending and potential orders, and we have recently identified new opportunities for later this fiscal year and subsequent periods. We believe our backlog of firm orders, pending and potential orders, and identified new opportunities provide a solid revenue outlook for the balance of fiscal 2027. The level of backlog at a particular point in time may not necessarily be indicative of results in subsequent periods as the size and delivery period of individual orders can vary significantly.</w:t>
      </w:r>
    </w:p>
    <w:p>
      <w:pPr>
        <w:spacing w:after="0" w:line="187"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color w:val="auto"/>
        </w:rPr>
        <w:t>Based on this visibility and expected delivery schedules, we expect a decline in revenue in fiscal 2027 from the level of revenue recognized in fiscal 2026. While our long-term outlook for our existing product lines is optimistic, the outlook for fiscal 2027 is less clear. We believe this expected decline in fiscal 2027 revenue is due to recent delays in certain projects and temporary changes in capital allocations by ultimate end-users. We are currently pursuing a number of initiatives, including new products and significant project opportunities, which we believe could have a positive impact on our future financial results.</w:t>
      </w:r>
    </w:p>
    <w:p>
      <w:pPr>
        <w:spacing w:after="0" w:line="183" w:lineRule="exact"/>
        <w:rPr>
          <w:sz w:val="20"/>
          <w:szCs w:val="20"/>
          <w:color w:val="auto"/>
        </w:rPr>
      </w:pPr>
    </w:p>
    <w:p>
      <w:pPr>
        <w:ind w:right="80" w:firstLine="414"/>
        <w:spacing w:after="0" w:line="266" w:lineRule="auto"/>
        <w:rPr>
          <w:sz w:val="20"/>
          <w:szCs w:val="20"/>
          <w:color w:val="auto"/>
        </w:rPr>
      </w:pPr>
      <w:r>
        <w:rPr>
          <w:rFonts w:ascii="Times New Roman" w:cs="Times New Roman" w:eastAsia="Times New Roman" w:hAnsi="Times New Roman"/>
          <w:sz w:val="18"/>
          <w:szCs w:val="18"/>
          <w:color w:val="auto"/>
        </w:rPr>
        <w:t>During fiscal 2026, our facility in Huntsville, Texas underwent an expansion to handle an expected increase in activity. As a result, repair and production activities were suspended for several months until the expansion activities were completed and repair and production operations resumed in the third quarter of fiscal 2026. We expect incremental activity and increased revenue from this facility in fiscal 2027.</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revenues tend to fluctuate from quarter to quarter due to delivery schedules and other factors, including the following:</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customers to accept delivery of orders as scheduled;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orders;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including supply chain disruptions, which could delay the completion of orders as scheduled;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orders not being received as expected;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delays beyond our control.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our Seamap segment, we address the marine survey and exploration markets. We see a number of opportunities to add to our technology and to apply existing technology and products to new applications. We also continue to pursue initiatives to further expand our product offerings. These initiatives include new internally developed technology, introduction of new products based on our existing technology, technology obtained through partnering arrangements with others and a combination of all of these efforts. However, we can give no assurance that any of these initiatives will ultimately have a material impact on our financial position or results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following developments within the marine technology industry may have a significant impact on our business:</w:t>
      </w:r>
    </w:p>
    <w:p>
      <w:pPr>
        <w:spacing w:after="0" w:line="225" w:lineRule="exact"/>
        <w:rPr>
          <w:sz w:val="20"/>
          <w:szCs w:val="20"/>
          <w:color w:val="auto"/>
        </w:rPr>
      </w:pPr>
    </w:p>
    <w:p>
      <w:pPr>
        <w:ind w:left="980" w:right="10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activity within the marine exploration space, including applications for alternative energy projects such as offshore windfarms and carbon capture projects;</w:t>
      </w:r>
    </w:p>
    <w:p>
      <w:pPr>
        <w:spacing w:after="0" w:line="161" w:lineRule="exact"/>
        <w:rPr>
          <w:rFonts w:ascii="Times New Roman" w:cs="Times New Roman" w:eastAsia="Times New Roman" w:hAnsi="Times New Roman"/>
          <w:sz w:val="18"/>
          <w:szCs w:val="18"/>
          <w:color w:val="auto"/>
        </w:rPr>
      </w:pPr>
    </w:p>
    <w:p>
      <w:pPr>
        <w:ind w:left="560" w:hanging="215"/>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marine exploration for oil and gas as a result of recent disruptins in Middle East supplies;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economical, commercially developed, technology for maritime security applications.</w:t>
      </w:r>
    </w:p>
    <w:p>
      <w:pPr>
        <w:spacing w:after="0" w:line="252"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In an effort to exploit these, and other, developments and perceived opportunities, we have prioritized certain strategic initiatives, including adaption of our SeaLink solid streamer technology to:</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applications, such as hydrographic surveys for windfarm and carbon capture projects;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security applications.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above applications expand our addressable markets and provide opportunities for further revenue growth.</w:t>
      </w:r>
    </w:p>
    <w:p>
      <w:pPr>
        <w:spacing w:after="0" w:line="225" w:lineRule="exact"/>
        <w:rPr>
          <w:sz w:val="20"/>
          <w:szCs w:val="20"/>
          <w:color w:val="auto"/>
        </w:rPr>
      </w:pPr>
    </w:p>
    <w:p>
      <w:pPr>
        <w:ind w:right="420" w:firstLine="450"/>
        <w:spacing w:after="0" w:line="266" w:lineRule="auto"/>
        <w:rPr>
          <w:sz w:val="20"/>
          <w:szCs w:val="20"/>
          <w:color w:val="auto"/>
        </w:rPr>
      </w:pPr>
      <w:r>
        <w:rPr>
          <w:rFonts w:ascii="Times New Roman" w:cs="Times New Roman" w:eastAsia="Times New Roman" w:hAnsi="Times New Roman"/>
          <w:sz w:val="18"/>
          <w:szCs w:val="18"/>
          <w:color w:val="auto"/>
        </w:rPr>
        <w:t>We also believe there are other initiatives that can expand our business and enhance stockholder value. These include development of new technology and products, the acquisition of technology, products or businesses or the combination with other companies. We continue to identify and evaluate these opportunities. We believe the Company is well positioned to take advantage of any such opportunities should they arise.</w:t>
      </w:r>
    </w:p>
    <w:p>
      <w:pPr>
        <w:spacing w:after="0" w:line="176"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General inflation levels have increased in recently due in part to supply chain issues, increased energy costs and geopolitical uncertainty. In addition, shortages of certain components, such as electronic components, have caused prices for available components to increase in some cases. Although these factors have had a negative impact on our costs, our revenues and results of operations have not been materially impacted by inflation or changing prices in the past several years.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Revenues for the three months ended April 30, 2026 were approximately $9.7 million, compared to approximately $7.9 million for the three months ended April 30, 2025,. For the three months ended April 30, 2026, we generated operating income of approximately $14,000, compared to an operating loss of approximately $658,000 for the three months ended April 30, 2025. A more detailed explanation of these variations follows.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Sales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Revenues and cost of sales for our Seamap segment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Percentage of revenue by source: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After market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320" w:type="dxa"/>
            <w:vAlign w:val="bottom"/>
          </w:tcPr>
          <w:p>
            <w:pPr>
              <w:spacing w:after="0"/>
              <w:rPr>
                <w:sz w:val="16"/>
                <w:szCs w:val="16"/>
                <w:color w:val="auto"/>
              </w:rPr>
            </w:pPr>
          </w:p>
        </w:tc>
        <w:tc>
          <w:tcPr>
            <w:tcW w:w="18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1140" w:type="dxa"/>
            <w:vAlign w:val="bottom"/>
          </w:tcPr>
          <w:p>
            <w:pPr>
              <w:spacing w:after="0"/>
              <w:rPr>
                <w:sz w:val="16"/>
                <w:szCs w:val="16"/>
                <w:color w:val="auto"/>
              </w:rPr>
            </w:pPr>
          </w:p>
        </w:tc>
      </w:tr>
      <w:tr>
        <w:trPr>
          <w:trHeight w:val="216"/>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9,672</w:t>
            </w:r>
          </w:p>
        </w:tc>
        <w:tc>
          <w:tcPr>
            <w:tcW w:w="5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7,902</w:t>
            </w:r>
          </w:p>
        </w:tc>
      </w:tr>
      <w:tr>
        <w:trPr>
          <w:trHeight w:val="234"/>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4,571</w:t>
            </w:r>
          </w:p>
        </w:tc>
      </w:tr>
      <w:tr>
        <w:trPr>
          <w:trHeight w:val="210"/>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tcPr>
          <w:p>
            <w:pPr>
              <w:spacing w:after="0"/>
              <w:rPr>
                <w:sz w:val="18"/>
                <w:szCs w:val="18"/>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2"/>
                <w:szCs w:val="22"/>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95"/>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198" w:lineRule="exact"/>
        <w:rPr>
          <w:sz w:val="20"/>
          <w:szCs w:val="20"/>
          <w:color w:val="auto"/>
        </w:rPr>
      </w:pPr>
    </w:p>
    <w:p>
      <w:pPr>
        <w:sectPr>
          <w:pgSz w:w="11900" w:h="16838" w:orient="portrait"/>
          <w:cols w:equalWidth="0" w:num="2">
            <w:col w:w="7200" w:space="720"/>
            <w:col w:w="3320"/>
          </w:cols>
          <w:pgMar w:left="320" w:top="121" w:right="339" w:bottom="1440" w:gutter="0" w:footer="0" w:header="0"/>
        </w:sect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A significant portion of Seamap’s sales consist of large discrete orders, the timing of which is dictated by our customers. This timing generally relates to the availability of the vessel in port so that our products can be delivered and installed. Accordingly, sales can significantly vary from one period to another. The remaining sales relate to “after-market” activity such as the sale of spare parts, repairs and services. The gross profit margin in the three-month period ended April 30, 2026 remained consistent with the prior year comparable period.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April 30, 2026, were approximately $3.5 million compared to approximately $3.4 million for the three months ended April 30, 2025 and $3.3 million for the three months ended January 31, 2026. The increase compared to the three months ended April 30, 2025, primarily relates to higher stock-based compensation expense and the increase compared to the three months ended January 31, 2026 primarily relates to the timing of incentive compensation awards.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costs were approximately $310,000 for the three- month period ended April 30, 2026,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$380,000 for the three-month period ended April 30, 2025. Costs in each of the periods are related primarily to development of our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generation towed streamer system and other new products.</w:t>
      </w:r>
    </w:p>
    <w:p>
      <w:pPr>
        <w:spacing w:after="0" w:line="20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which includes depreciation of equipment, furniture and fixtures and the amortization of intangible assets, decreased primarily attributable to assets becoming fully depreciated and amortized over the year. These costs were approximately $228,000 and $225,000 in the three-month periods ended April 30, 2026, and April 30, 2025,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Other income recognized for the three months ended April 30, 2026, related primarily to interest income on cash balances. Other losses recognized for the three months ended April 30, 2025 related primarily to foreign exchange losses.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For the three months ended April 30, 2026, our income tax expense was approximately $476,000 on pre-tax income of approximately $65,000. For the three months ended April 30, 2025, our income tax expense was approximately $294,000 on a pre-tax loss of approximately $676,000. These amounts differed from the result expected when applying the U.S. statutory rate of 21% to our income before income taxes for the respective periods due primarily to the impact of income taxes accrued in certain foreign jurisdictions, primarily Singapore, which do not have net operating losses available to offset taxable income, and because we do not benefit from tax losses in the U.S. and certain foreign jurisdictions where we have valuation allowances recorded against our deferred tax assets. Valuation allowances have been provided against all deferred tax assets in the United States and certain foreign jurisdictions, including the United Kingdom.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Company has generated income from operations and positive Adjusted EBITDA for each of the past three fiscal years. The Company also generated net income from operations and cash provided by operating activities for each of fiscal 2025 and fiscal 2026.</w:t>
      </w:r>
    </w:p>
    <w:p>
      <w:pPr>
        <w:spacing w:after="0" w:line="16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April 30, 2026, the Company had working capital of approximately $37.8 million, including cash and cash equivalents of approximately $17.7 million, compared to working capital of approximately $37.4 million, including cash and cash equivalents of approximately $19.1 million, as of January 31, 2026. On March 17, 2026, the Company entered into a trade finance facility with The Hong Kong Bank Corporation Limited, Singapore Branch (“HSBC Singapore”) for the issuance, from time to time, of letters of credit or bank guarantees. The Company has entered into this facility to provide flexibility for potential future projects and to allow the Company to respond efficiently and economically as these potential projects may arise. As of June 10, 2026, there has been no activity associated with this trade facility.</w:t>
      </w:r>
    </w:p>
    <w:p>
      <w:pPr>
        <w:spacing w:after="0" w:line="187" w:lineRule="exact"/>
        <w:rPr>
          <w:sz w:val="20"/>
          <w:szCs w:val="20"/>
          <w:color w:val="auto"/>
        </w:rPr>
      </w:pPr>
    </w:p>
    <w:p>
      <w:pPr>
        <w:ind w:right="440" w:firstLine="486"/>
        <w:spacing w:after="0" w:line="312" w:lineRule="auto"/>
        <w:rPr>
          <w:sz w:val="20"/>
          <w:szCs w:val="20"/>
          <w:color w:val="auto"/>
        </w:rPr>
      </w:pPr>
      <w:r>
        <w:rPr>
          <w:rFonts w:ascii="Times New Roman" w:cs="Times New Roman" w:eastAsia="Times New Roman" w:hAnsi="Times New Roman"/>
          <w:sz w:val="17"/>
          <w:szCs w:val="17"/>
          <w:color w:val="auto"/>
        </w:rPr>
        <w:t>The Company believes it will have adequate liquidity to meet its future operating requirements through a combination of cash on hand, cash expected to be generated from operations, disciplined working capital management, the issuance of equity securities or some other form of financing.</w:t>
      </w:r>
    </w:p>
    <w:p>
      <w:pPr>
        <w:spacing w:after="0" w:line="140"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In September 2025 we initiated an at-the-market “ATM” offering program whereby we may issue common stock from time to time for gross proceeds of up to $25.0 million. We believe our ATM program allows us to raise capital quickly and efficiently should the need arise, such as for an acquisition or other business expansion. Additionally, this facility allows us to raise capital in the event the price of our common stock reflects a market value at which we believe adding capital, at or above that price, to be non-dilutive. To date, we have issued approximately 1.1 million shares of common stock pursuant to the ATM and generated net proceeds of approximately $11.7 million. Concurrently with establishing the ATM program, our Board of Directors authorized the buyback of up to $4.0 million of our common stock. This repurchase program will allow us to move quickly and efficiently should we believe market conditions indicate that the purchase of our own common stock is the best use of our capital. To date we have not repurchased any shares of common stock pursuant to our repurchase program. We believe both of these liquidity programs are consistent with our stated objective of furthering stockholder value by whatever means feasible.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selected historical information regarding cash flows from our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7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54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5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9"/>
              </w:rPr>
              <w:t>(in thousands)</w:t>
            </w:r>
          </w:p>
        </w:tc>
        <w:tc>
          <w:tcPr>
            <w:tcW w:w="5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1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 on cash and cash equivalents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3,836</w:t>
            </w:r>
          </w:p>
        </w:tc>
      </w:tr>
    </w:tbl>
    <w:p>
      <w:pPr>
        <w:spacing w:after="0" w:line="198" w:lineRule="exact"/>
        <w:rPr>
          <w:sz w:val="20"/>
          <w:szCs w:val="20"/>
          <w:color w:val="auto"/>
        </w:rPr>
      </w:pPr>
    </w:p>
    <w:p>
      <w:pPr>
        <w:jc w:val="both"/>
        <w:ind w:right="180" w:firstLine="486"/>
        <w:spacing w:after="0" w:line="312" w:lineRule="auto"/>
        <w:rPr>
          <w:sz w:val="20"/>
          <w:szCs w:val="20"/>
          <w:color w:val="auto"/>
        </w:rPr>
      </w:pPr>
      <w:r>
        <w:rPr>
          <w:rFonts w:ascii="Times New Roman" w:cs="Times New Roman" w:eastAsia="Times New Roman" w:hAnsi="Times New Roman"/>
          <w:sz w:val="17"/>
          <w:szCs w:val="17"/>
          <w:color w:val="auto"/>
        </w:rPr>
        <w:t>As of April 30, 2026, we had working capital of approximately $37.8 million, including cash and cash equivalents of approximately $17.7 million, as compared to working capital of approximately $37.4 million, including cash and cash equivalents of approximately $19.1 million, at January 31, 2026.</w:t>
      </w:r>
    </w:p>
    <w:p>
      <w:pPr>
        <w:spacing w:after="0" w:line="138"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Net cash used in operating activities was approximately $1.3 million in the first three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 as compared to cash provided by operating activities of approximately $4.1 million in the first three months of fiscal 2026. The decrease in net cash provided by operating activities was due mainly to increases in accounts receivable.</w:t>
      </w:r>
    </w:p>
    <w:p>
      <w:pPr>
        <w:spacing w:after="0" w:line="173" w:lineRule="exact"/>
        <w:rPr>
          <w:sz w:val="20"/>
          <w:szCs w:val="20"/>
          <w:color w:val="auto"/>
        </w:rPr>
      </w:pPr>
    </w:p>
    <w:p>
      <w:pPr>
        <w:ind w:right="6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Net cash used in investing activities during the first three months of fiscal 2026 relates primarily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of assets and investment related to the expansion of our facility in Huntsville, Texas.</w:t>
      </w:r>
    </w:p>
    <w:p>
      <w:pPr>
        <w:spacing w:after="0" w:line="158"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For the three months ended April 30, 2026 and April 30, 2025, there was no cash flow related to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w:t>
      </w:r>
    </w:p>
    <w:p>
      <w:pPr>
        <w:spacing w:after="0" w:line="160"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We have determined that the undistributed earnings of foreign subsidiaries are not deemed indefinitely reinvested outside of the United States as of April 30, 2026. Furthermore, we have concluded that any deferred taxes with respect to the undistributed foreign earnings would be immaterial.</w:t>
      </w:r>
    </w:p>
    <w:p>
      <w:pPr>
        <w:spacing w:after="0" w:line="162" w:lineRule="exact"/>
        <w:rPr>
          <w:sz w:val="20"/>
          <w:szCs w:val="20"/>
          <w:color w:val="auto"/>
        </w:rPr>
      </w:pPr>
    </w:p>
    <w:p>
      <w:pPr>
        <w:ind w:right="220" w:firstLine="450"/>
        <w:spacing w:after="0" w:line="266" w:lineRule="auto"/>
        <w:rPr>
          <w:sz w:val="20"/>
          <w:szCs w:val="20"/>
          <w:color w:val="auto"/>
        </w:rPr>
      </w:pPr>
      <w:r>
        <w:rPr>
          <w:rFonts w:ascii="Times New Roman" w:cs="Times New Roman" w:eastAsia="Times New Roman" w:hAnsi="Times New Roman"/>
          <w:sz w:val="18"/>
          <w:szCs w:val="18"/>
          <w:color w:val="auto"/>
        </w:rPr>
        <w:t>As of April 30, 2026, we had deposits in foreign banks equal to approximately $6.1 million, all of which we believe could be distributed to the United States without adverse tax consequences. However, in certain cases, the transfer of these funds may result in withholding taxes payable to foreign taxing authorities. If withholding taxes should become payable, we believe the amount of tax withheld would be immaterial.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Information regarding our critical accounting estimates is included in Part II, Item 7 “Management’s Discussion and Analysis of Financial Condition and Results of Operations” in our Annual Report on Form 10-K for the year ended January 31, 2026. There have been no material changes to our critical accounting estimates during the three-month period ended April 30, 2026.</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We are exposed to market risk, which is the potential loss arising from adverse changes in market prices and rates. We have not entered, and do not intend to enter, into derivative financial instruments for hedging or speculative purposes.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operate in several foreign locations, which gives rise to risk from changes in foreign currency exchange rates. To the extent possible, we attempt to denominate our transactions in foreign locations in U.S. dollars. For those cases in which transactions are not denominated in U.S. dollars, we are exposed to risk from changes in exchange rates to the extent that non-U.S. dollar revenues exceed non-U.S. dollar expenses related to those transactions. Our non-U.S. dollar transactions are denominated primarily in British pounds, Singapore dollars and European Union euros. As a result of these transactions, we generally hold cash balances that are denominated in these foreign currencies. As of April 30, 2026, our consolidated cash and cash equivalents included foreign currency denominated amounts equivalent to approximately $577,000 in U.S. dollars. A 10% increase in the U.S. dollar as compared to each of these currencies would result in a loss of approximately $58,000 in the U.S. dollar value of these deposits, while a 10% decrease would result in an equal amount of gain. We do not currently hold or issue foreign exchange contracts or other derivative instruments to hedge these exposures.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30, 2026, we had no interest bearing debt.</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principal executive officers and principal financial officer, the effectiveness of the design and operation of our disclosure controls and procedures (as defined in Rules 13a-15(e) and 15d-15(e) under the Exchange Act) as of the end of the period covered by this Form 10-Q.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Our principal executive officer and principal financial officer have concluded that our current disclosure controls and procedures were effective as of April 30, 2026 at the reasonable assurance level.</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(as defined in Rules 13a-15(f) and 15d-15(f) under the Exchange Act) during the quarter ended April 30, 2026, that has materially affected, or is reasonably likely to materially affect, our internal control over financial reporting.</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7" w:lineRule="exact"/>
        <w:rPr>
          <w:sz w:val="20"/>
          <w:szCs w:val="20"/>
          <w:color w:val="auto"/>
        </w:rPr>
      </w:pPr>
    </w:p>
    <w:p>
      <w:pPr>
        <w:ind w:right="500" w:firstLine="45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legal proceedings arising in the ordinary course of business. We are not currently a party to any legal proceedings, individually or collectively, that we believe could have a material adverse effect on our results of operations or financial condition or is otherwise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elsewhere in this Form 10-Q, you should carefully consider the risks discussed in our Annual Report on Form 10-K for the year ended January 31, 2026, which risks could materially affect our business, financial condition or future results. There have been no material changes in our risk factors from those described in our Annual Report on Form 10-K for the year ended January 31, 2026. The risks described in our Annual Report on Form 10-K for the year ended January 31, 2026, are not the only risks the Company faces. Additional risks and uncertainties not currently known to us or that we currently deem to be immaterial may also materially adversely affect our business, financial condition, or future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no director or officer entered into, modified, or terminated a “Rule 10b5-1 trading arrangement” or “non-Rule 10b5-1 trading arrangement” (in each case, as defined in Item 408(a) of Regulation S-K).</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exhibits marked with the cross symbol (†) are filed (or furnished in the case of Exhibit 32.1) with this Form 10-Q.</w:t>
      </w:r>
    </w:p>
    <w:p>
      <w:pPr>
        <w:sectPr>
          <w:pgSz w:w="11900" w:h="16838" w:orient="portrait"/>
          <w:cols w:equalWidth="0" w:num="1">
            <w:col w:w="11240"/>
          </w:cols>
          <w:pgMar w:left="320" w:top="121" w:right="339" w:bottom="1440" w:gutter="0" w:footer="0" w:header="0"/>
        </w:sectPr>
      </w:pP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57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3.1</w:t>
      </w:r>
    </w:p>
    <w:p>
      <w:pPr>
        <w:spacing w:after="0" w:line="3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Document Description</w:t>
      </w:r>
    </w:p>
    <w:p>
      <w:pPr>
        <w:spacing w:after="0" w:line="243" w:lineRule="exact"/>
        <w:rPr>
          <w:sz w:val="20"/>
          <w:szCs w:val="20"/>
          <w:color w:val="auto"/>
        </w:rPr>
      </w:pPr>
    </w:p>
    <w:p>
      <w:pPr>
        <w:ind w:right="420"/>
        <w:spacing w:after="0" w:line="261"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Amended and Restated Certificate of Incorporation of</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MIND Technology,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2785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90" w:lineRule="auto"/>
        <w:rPr>
          <w:rFonts w:ascii="Times New Roman" w:cs="Times New Roman" w:eastAsia="Times New Roman" w:hAnsi="Times New Roman"/>
          <w:sz w:val="17"/>
          <w:szCs w:val="17"/>
          <w:u w:val="single" w:color="auto"/>
          <w:color w:val="0000EE"/>
        </w:rPr>
      </w:pPr>
      <w:hyperlink r:id="rId45">
        <w:r>
          <w:rPr>
            <w:rFonts w:ascii="Times New Roman" w:cs="Times New Roman" w:eastAsia="Times New Roman" w:hAnsi="Times New Roman"/>
            <w:sz w:val="17"/>
            <w:szCs w:val="17"/>
            <w:u w:val="single" w:color="auto"/>
            <w:color w:val="0000EE"/>
          </w:rPr>
          <w:t>Certificate of Amendment of Certificate of Incorporation of</w:t>
        </w:r>
      </w:hyperlink>
      <w:r>
        <w:rPr>
          <w:rFonts w:ascii="Times New Roman" w:cs="Times New Roman" w:eastAsia="Times New Roman" w:hAnsi="Times New Roman"/>
          <w:sz w:val="17"/>
          <w:szCs w:val="17"/>
          <w:u w:val="single" w:color="auto"/>
          <w:color w:val="0000EE"/>
        </w:rPr>
        <w:t xml:space="preserve"> </w:t>
      </w:r>
      <w:hyperlink r:id="rId45">
        <w:r>
          <w:rPr>
            <w:rFonts w:ascii="Times New Roman" w:cs="Times New Roman" w:eastAsia="Times New Roman" w:hAnsi="Times New Roman"/>
            <w:sz w:val="17"/>
            <w:szCs w:val="17"/>
            <w:u w:val="single" w:color="auto"/>
            <w:color w:val="0000EE"/>
          </w:rPr>
          <w:t>MIND Technology, Inc., effective as of October 12, 2023.</w:t>
        </w:r>
      </w:hyperlink>
    </w:p>
    <w:p>
      <w:pPr>
        <w:spacing w:after="0" w:line="4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Amended and Restated Bylaws of MIND Technology, Inc.</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Texas Certificate of Merger, effective as of August 3, 2020</w:t>
        </w:r>
      </w:hyperlink>
    </w:p>
    <w:p>
      <w:pPr>
        <w:spacing w:after="0" w:line="117" w:lineRule="exact"/>
        <w:rPr>
          <w:sz w:val="20"/>
          <w:szCs w:val="20"/>
          <w:color w:val="auto"/>
        </w:rPr>
      </w:pPr>
    </w:p>
    <w:p>
      <w:pPr>
        <w:ind w:right="200"/>
        <w:spacing w:after="0" w:line="261" w:lineRule="auto"/>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Delaware Certificate of Merger, effective as of August 3,</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2020</w:t>
        </w:r>
      </w:hyperlink>
    </w:p>
    <w:p>
      <w:pPr>
        <w:ind w:right="1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Robert P. Capps, Chief Executive Officer, pursuant to Rule 13a-14(a) and Rule 15d-14(a) of the Securities Exchange Act, as amended</w:t>
      </w:r>
    </w:p>
    <w:p>
      <w:pPr>
        <w:spacing w:after="0" w:line="1" w:lineRule="exact"/>
        <w:rPr>
          <w:sz w:val="20"/>
          <w:szCs w:val="20"/>
          <w:color w:val="auto"/>
        </w:rPr>
      </w:pPr>
    </w:p>
    <w:p>
      <w:pPr>
        <w:jc w:val="both"/>
        <w:ind w:right="40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Mark A. Cox, Chief Financial Officer, pursuant to Rule 13a-14(a) and Rule 15d-14(a) of the Securities Exchange Act, as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Robert P. Capps,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and Mark A. Cox, Chief Financial Officer,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Section 906 of the Sarbanes Oxley Act of 2002,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 1350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2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-281940</wp:posOffset>
            </wp:positionV>
            <wp:extent cx="2777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October 13, 2023.</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u w:val="single" w:color="auto"/>
          <w:color w:val="auto"/>
        </w:rPr>
        <w:t>Reference</w:t>
      </w:r>
    </w:p>
    <w:p>
      <w:pPr>
        <w:spacing w:after="0" w:line="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3.2</w:t>
      </w:r>
    </w:p>
    <w:p>
      <w:pPr>
        <w:spacing w:after="0" w:line="2486" w:lineRule="exact"/>
        <w:rPr>
          <w:sz w:val="20"/>
          <w:szCs w:val="20"/>
          <w:color w:val="auto"/>
        </w:rPr>
      </w:pPr>
    </w:p>
    <w:p>
      <w:pPr>
        <w:sectPr>
          <w:pgSz w:w="11900" w:h="16838" w:orient="portrait"/>
          <w:cols w:equalWidth="0" w:num="4">
            <w:col w:w="1000" w:space="480"/>
            <w:col w:w="4300" w:space="200"/>
            <w:col w:w="4340" w:space="140"/>
            <w:col w:w="780"/>
          </w:cols>
          <w:pgMar w:left="320" w:top="121"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101.INS†</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of Linkbase</w:t>
            </w:r>
          </w:p>
        </w:tc>
        <w:tc>
          <w:tcPr>
            <w:tcW w:w="0" w:type="dxa"/>
            <w:vAlign w:val="bottom"/>
          </w:tcPr>
          <w:p>
            <w:pPr>
              <w:spacing w:after="0"/>
              <w:rPr>
                <w:sz w:val="1"/>
                <w:szCs w:val="1"/>
                <w:color w:val="auto"/>
              </w:rPr>
            </w:pPr>
          </w:p>
        </w:tc>
      </w:tr>
      <w:tr>
        <w:trPr>
          <w:trHeight w:val="126"/>
        </w:trPr>
        <w:tc>
          <w:tcPr>
            <w:tcW w:w="1280" w:type="dxa"/>
            <w:vAlign w:val="bottom"/>
            <w:vMerge w:val="continue"/>
          </w:tcPr>
          <w:p>
            <w:pPr>
              <w:spacing w:after="0"/>
              <w:rPr>
                <w:sz w:val="10"/>
                <w:szCs w:val="10"/>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101.DEF†</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126"/>
        </w:trPr>
        <w:tc>
          <w:tcPr>
            <w:tcW w:w="1280" w:type="dxa"/>
            <w:vAlign w:val="bottom"/>
            <w:vMerge w:val="continue"/>
          </w:tcPr>
          <w:p>
            <w:pPr>
              <w:spacing w:after="0"/>
              <w:rPr>
                <w:sz w:val="10"/>
                <w:szCs w:val="10"/>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126"/>
        </w:trPr>
        <w:tc>
          <w:tcPr>
            <w:tcW w:w="1280" w:type="dxa"/>
            <w:vAlign w:val="bottom"/>
            <w:vMerge w:val="continue"/>
          </w:tcPr>
          <w:p>
            <w:pPr>
              <w:spacing w:after="0"/>
              <w:rPr>
                <w:sz w:val="10"/>
                <w:szCs w:val="10"/>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101.PRE†</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996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9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50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MIND TECHNOLOGY, INC.</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P. Capps</w:t>
            </w:r>
          </w:p>
        </w:tc>
      </w:tr>
      <w:tr>
        <w:trPr>
          <w:trHeight w:val="191"/>
        </w:trPr>
        <w:tc>
          <w:tcPr>
            <w:tcW w:w="5480" w:type="dxa"/>
            <w:vAlign w:val="bottom"/>
          </w:tcPr>
          <w:p>
            <w:pPr>
              <w:spacing w:after="0"/>
              <w:rPr>
                <w:sz w:val="16"/>
                <w:szCs w:val="16"/>
                <w:color w:val="auto"/>
              </w:rPr>
            </w:pPr>
          </w:p>
        </w:tc>
        <w:tc>
          <w:tcPr>
            <w:tcW w:w="5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P. Capps</w:t>
            </w:r>
          </w:p>
        </w:tc>
      </w:tr>
      <w:tr>
        <w:trPr>
          <w:trHeight w:val="234"/>
        </w:trPr>
        <w:tc>
          <w:tcPr>
            <w:tcW w:w="548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4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32"/>
        </w:trPr>
        <w:tc>
          <w:tcPr>
            <w:tcW w:w="5480" w:type="dxa"/>
            <w:vAlign w:val="bottom"/>
          </w:tcPr>
          <w:p>
            <w:pPr>
              <w:spacing w:after="0"/>
              <w:rPr>
                <w:sz w:val="24"/>
                <w:szCs w:val="24"/>
                <w:color w:val="auto"/>
              </w:rPr>
            </w:pPr>
          </w:p>
        </w:tc>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Capps, certify that: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have reviewed this quarterly report on Form 10-Q for the quarterly period ended April 30, 2026 of MIND Technology, Inc. (the “registrant”);</w:t>
      </w:r>
    </w:p>
    <w:p>
      <w:pPr>
        <w:spacing w:after="0" w:line="227" w:lineRule="exact"/>
        <w:rPr>
          <w:sz w:val="20"/>
          <w:szCs w:val="20"/>
          <w:color w:val="auto"/>
        </w:rPr>
      </w:pPr>
    </w:p>
    <w:p>
      <w:pPr>
        <w:ind w:right="2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00" w:firstLine="494"/>
        <w:spacing w:after="0" w:line="266"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0" w:firstLine="494"/>
        <w:spacing w:after="0" w:line="282"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494"/>
        <w:spacing w:after="0" w:line="266" w:lineRule="auto"/>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0" w:firstLine="494"/>
        <w:spacing w:after="0" w:line="282"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40" w:firstLine="494"/>
        <w:spacing w:after="0" w:line="282" w:lineRule="auto"/>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83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9837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Cox, certify that: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have reviewed this quarterly report on Form 10-Q for the quarterly period ended April 30, 2026 of MIND Technology, Inc. (the “registrant”);</w:t>
      </w:r>
    </w:p>
    <w:p>
      <w:pPr>
        <w:spacing w:after="0" w:line="227" w:lineRule="exact"/>
        <w:rPr>
          <w:sz w:val="20"/>
          <w:szCs w:val="20"/>
          <w:color w:val="auto"/>
        </w:rPr>
      </w:pPr>
    </w:p>
    <w:p>
      <w:pPr>
        <w:ind w:right="2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00" w:firstLine="494"/>
        <w:spacing w:after="0" w:line="266"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0" w:firstLine="494"/>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494"/>
        <w:spacing w:after="0" w:line="266"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0" w:firstLine="494"/>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40" w:firstLine="494"/>
        <w:spacing w:after="0" w:line="282" w:lineRule="auto"/>
        <w:tabs>
          <w:tab w:leader="none" w:pos="7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42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542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Vice President of Finance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MIND Technology, Inc. (the “Company”) on Form 10-Q for the quarterly period ended April 30, 2026, as filed with the Securities and Exchange Commission on the date hereof (the “Report”), Robert P. Capps, Chief Executive Officer of the Company, and Mark A. Cox, Chief Financial Officer of the Company, each hereby certify, pursuant to 18 U.S.C. Section 1350, as adopted pursuant to Section 906 of the Sarbanes-Oxley Act of 2002, that, to his knowledge:</w:t>
      </w:r>
    </w:p>
    <w:p>
      <w:pPr>
        <w:spacing w:after="0" w:line="180" w:lineRule="exact"/>
        <w:rPr>
          <w:sz w:val="20"/>
          <w:szCs w:val="20"/>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69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869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424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Vice President of Finance and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2"/>
    </w:lvl>
    <w:lvl w:ilvl="1">
      <w:lvlJc w:val="left"/>
      <w:lvlText w:val="(%2)"/>
      <w:numFmt w:val="lowerLetter"/>
      <w:start w:val="1"/>
    </w:lvl>
  </w:abstractNum>
  <w:abstractNum w:abstractNumId="11">
    <w:nsid w:val="140E0F76"/>
    <w:multiLevelType w:val="hybridMultilevel"/>
    <w:lvl w:ilvl="0">
      <w:lvlJc w:val="left"/>
      <w:lvlText w:val="%1."/>
      <w:numFmt w:val="decimal"/>
      <w:start w:val="2"/>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43" Type="http://schemas.openxmlformats.org/officeDocument/2006/relationships/hyperlink" Target="http://www.sec.gov/Archives/edgar/data/926423/000162828020012171/exhibit33-mindtechnolo.htm" TargetMode="External"/><Relationship Id="rId45" Type="http://schemas.openxmlformats.org/officeDocument/2006/relationships/hyperlink" Target="http://www.sec.gov/Archives/edgar/data/926423/000143774923028177/ex_578755.htm" TargetMode="External"/><Relationship Id="rId46" Type="http://schemas.openxmlformats.org/officeDocument/2006/relationships/hyperlink" Target="http://www.sec.gov/Archives/edgar/data/926423/000162828020012171/exhibit34-mindtechnolo.htm" TargetMode="External"/><Relationship Id="rId47" Type="http://schemas.openxmlformats.org/officeDocument/2006/relationships/hyperlink" Target="http://www.sec.gov/Archives/edgar/data/926423/000162828020012171/exhibit31-mindtechnolo.htm" TargetMode="External"/><Relationship Id="rId48" Type="http://schemas.openxmlformats.org/officeDocument/2006/relationships/hyperlink" Target="http://www.sec.gov/Archives/edgar/data/926423/000162828020012171/exhibit32-mindtechno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2026-06-11T15:29:39Z</dcterms:created>
  <dcterms:modified xsi:type="dcterms:W3CDTF">2026-06-11T15:29:39Z</dcterms:modified>
</cp:coreProperties>
</file>