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-195580</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26670</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9"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18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3519170</wp:posOffset>
            </wp:positionH>
            <wp:positionV relativeFrom="paragraph">
              <wp:posOffset>-5080</wp:posOffset>
            </wp:positionV>
            <wp:extent cx="1609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9090" cy="8890"/>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001-13490</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MIND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-266065</wp:posOffset>
            </wp:positionV>
            <wp:extent cx="3634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141605</wp:posOffset>
            </wp:positionV>
            <wp:extent cx="3634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780" w:type="dxa"/>
            <w:vAlign w:val="bottom"/>
            <w:gridSpan w:val="2"/>
          </w:tcPr>
          <w:p>
            <w:pPr>
              <w:jc w:val="center"/>
              <w:ind w:left="17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spacing w:after="0"/>
              <w:rPr>
                <w:sz w:val="18"/>
                <w:szCs w:val="18"/>
                <w:color w:val="auto"/>
              </w:rPr>
            </w:pP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76-0210849</w:t>
            </w:r>
          </w:p>
        </w:tc>
        <w:tc>
          <w:tcPr>
            <w:tcW w:w="0" w:type="dxa"/>
            <w:vAlign w:val="bottom"/>
          </w:tcPr>
          <w:p>
            <w:pPr>
              <w:spacing w:after="0"/>
              <w:rPr>
                <w:sz w:val="1"/>
                <w:szCs w:val="1"/>
                <w:color w:val="auto"/>
              </w:rPr>
            </w:pPr>
          </w:p>
        </w:tc>
      </w:tr>
      <w:tr>
        <w:trPr>
          <w:trHeight w:val="148"/>
        </w:trPr>
        <w:tc>
          <w:tcPr>
            <w:tcW w:w="3780" w:type="dxa"/>
            <w:vAlign w:val="bottom"/>
            <w:gridSpan w:val="2"/>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spacing w:after="0"/>
              <w:rPr>
                <w:sz w:val="12"/>
                <w:szCs w:val="12"/>
                <w:color w:val="auto"/>
              </w:rPr>
            </w:pPr>
          </w:p>
        </w:tc>
        <w:tc>
          <w:tcPr>
            <w:tcW w:w="3140" w:type="dxa"/>
            <w:vAlign w:val="bottom"/>
            <w:gridSpan w:val="2"/>
          </w:tcPr>
          <w:p>
            <w:pPr>
              <w:jc w:val="center"/>
              <w:ind w:right="15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80" w:type="dxa"/>
            <w:vAlign w:val="bottom"/>
            <w:gridSpan w:val="2"/>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2002 Timberloch Place</w:t>
            </w: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8"/>
              </w:rPr>
              <w:t>The Woodlands, Texas 77380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80" w:type="dxa"/>
            <w:vAlign w:val="bottom"/>
          </w:tcPr>
          <w:p>
            <w:pPr>
              <w:jc w:val="center"/>
              <w:ind w:right="117"/>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(281) 353-4475</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telephone number, including area code)</w:t>
            </w:r>
          </w:p>
        </w:tc>
        <w:tc>
          <w:tcPr>
            <w:tcW w:w="8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rPr>
              <w:t>Trading Symbol(s)</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12"/>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 $0.01 par value per share</w:t>
            </w: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MIND</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9,038,082 shares of common stock, $0.01 par value, were outstanding as of December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60" w:type="dxa"/>
            <w:vAlign w:val="bottom"/>
            <w:gridSpan w:val="1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60" w:type="dxa"/>
            <w:vAlign w:val="bottom"/>
            <w:gridSpan w:val="1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0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64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340" w:type="dxa"/>
            <w:vAlign w:val="bottom"/>
            <w:gridSpan w:val="15"/>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October 31, 2025 and January 31, 2025</w:t>
            </w: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October 31, 2025 and 2024</w:t>
            </w: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and Nine Months Ended October 31, 2025 and 2024</w:t>
            </w:r>
          </w:p>
        </w:tc>
        <w:tc>
          <w:tcPr>
            <w:tcW w:w="26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October 31, 2025 and 2024</w:t>
            </w:r>
          </w:p>
        </w:tc>
        <w:tc>
          <w:tcPr>
            <w:tcW w:w="164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October 31, 2025 and 2024</w:t>
            </w:r>
          </w:p>
        </w:tc>
        <w:tc>
          <w:tcPr>
            <w:tcW w:w="480" w:type="dxa"/>
            <w:vAlign w:val="bottom"/>
            <w:gridSpan w:val="2"/>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160" w:type="dxa"/>
            <w:vAlign w:val="bottom"/>
            <w:gridSpan w:val="10"/>
          </w:tcPr>
          <w:p>
            <w:pPr>
              <w:spacing w:after="0"/>
              <w:rPr>
                <w:sz w:val="17"/>
                <w:szCs w:val="17"/>
                <w:color w:val="auto"/>
              </w:rPr>
            </w:pPr>
          </w:p>
        </w:tc>
        <w:tc>
          <w:tcPr>
            <w:tcW w:w="480" w:type="dxa"/>
            <w:vAlign w:val="bottom"/>
            <w:gridSpan w:val="2"/>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about Forward-Looking Statements</w:t>
            </w: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0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60" w:type="dxa"/>
            <w:vAlign w:val="bottom"/>
            <w:gridSpan w:val="13"/>
          </w:tcPr>
          <w:p>
            <w:pPr>
              <w:jc w:val="center"/>
              <w:ind w:right="38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5"/>
          </w:tcPr>
          <w:p>
            <w:pPr>
              <w:spacing w:after="0"/>
              <w:rPr>
                <w:sz w:val="24"/>
                <w:szCs w:val="24"/>
                <w:color w:val="auto"/>
              </w:rPr>
            </w:pPr>
          </w:p>
        </w:tc>
        <w:tc>
          <w:tcPr>
            <w:tcW w:w="3800" w:type="dxa"/>
            <w:vAlign w:val="bottom"/>
            <w:gridSpan w:val="8"/>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24"/>
                <w:szCs w:val="24"/>
                <w:color w:val="auto"/>
              </w:rPr>
            </w:pPr>
          </w:p>
        </w:tc>
        <w:tc>
          <w:tcPr>
            <w:tcW w:w="844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24"/>
                <w:szCs w:val="24"/>
                <w:color w:val="auto"/>
              </w:rPr>
            </w:pPr>
          </w:p>
        </w:tc>
        <w:tc>
          <w:tcPr>
            <w:tcW w:w="5420" w:type="dxa"/>
            <w:vAlign w:val="bottom"/>
            <w:gridSpan w:val="10"/>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000" w:type="dxa"/>
            <w:vAlign w:val="bottom"/>
            <w:gridSpan w:val="17"/>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24"/>
                <w:szCs w:val="24"/>
                <w:color w:val="auto"/>
              </w:rPr>
            </w:pPr>
          </w:p>
        </w:tc>
        <w:tc>
          <w:tcPr>
            <w:tcW w:w="84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4"/>
                <w:szCs w:val="24"/>
                <w:color w:val="auto"/>
              </w:rPr>
            </w:pPr>
          </w:p>
        </w:tc>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8780" w:type="dxa"/>
            <w:vAlign w:val="bottom"/>
            <w:gridSpan w:val="20"/>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4"/>
                <w:szCs w:val="24"/>
                <w:color w:val="auto"/>
              </w:rPr>
            </w:pPr>
          </w:p>
        </w:tc>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453"/>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9"/>
          </w:tcPr>
          <w:p>
            <w:pPr>
              <w:jc w:val="center"/>
              <w:ind w:right="4940"/>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5,336</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$332 at each of October 31, 2025 and January</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31, 2025</w:t>
            </w:r>
          </w:p>
        </w:tc>
        <w:tc>
          <w:tcPr>
            <w:tcW w:w="6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w:t>
            </w: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32,115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47,344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left="17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 shares authorized; 8,974 shares issued and outstanding at</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October 31, 2025 and 7,969 shares issued and outstanding at January 31, 2025</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135,666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27,332</w:t>
            </w: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47,344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3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4"/>
                <w:szCs w:val="24"/>
                <w:color w:val="auto"/>
              </w:rPr>
            </w:pPr>
          </w:p>
        </w:tc>
        <w:tc>
          <w:tcPr>
            <w:tcW w:w="2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31,819</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17,402</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14,417</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16"/>
        </w:trPr>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dividends - undeclared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preferred stock conversion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14,785</w:t>
            </w:r>
          </w:p>
        </w:tc>
        <w:tc>
          <w:tcPr>
            <w:tcW w:w="0" w:type="dxa"/>
            <w:vAlign w:val="bottom"/>
          </w:tcPr>
          <w:p>
            <w:pPr>
              <w:spacing w:after="0"/>
              <w:rPr>
                <w:sz w:val="1"/>
                <w:szCs w:val="1"/>
                <w:color w:val="auto"/>
              </w:rPr>
            </w:pPr>
          </w:p>
        </w:tc>
      </w:tr>
      <w:tr>
        <w:trPr>
          <w:trHeight w:val="25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2"/>
                <w:szCs w:val="22"/>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15,566</w:t>
            </w:r>
          </w:p>
        </w:tc>
        <w:tc>
          <w:tcPr>
            <w:tcW w:w="0" w:type="dxa"/>
            <w:vAlign w:val="bottom"/>
          </w:tcPr>
          <w:p>
            <w:pPr>
              <w:spacing w:after="0"/>
              <w:rPr>
                <w:sz w:val="1"/>
                <w:szCs w:val="1"/>
                <w:color w:val="auto"/>
              </w:rPr>
            </w:pPr>
          </w:p>
        </w:tc>
      </w:tr>
      <w:tr>
        <w:trPr>
          <w:trHeight w:val="197"/>
        </w:trPr>
        <w:tc>
          <w:tcPr>
            <w:tcW w:w="4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common share - Basic and diluted</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net income per common share:</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76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0" w:type="dxa"/>
            <w:vAlign w:val="bottom"/>
            <w:gridSpan w:val="10"/>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6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6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4"/>
                <w:szCs w:val="24"/>
                <w:color w:val="auto"/>
              </w:rPr>
            </w:pPr>
          </w:p>
        </w:tc>
        <w:tc>
          <w:tcPr>
            <w:tcW w:w="24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60" w:type="dxa"/>
            <w:vAlign w:val="bottom"/>
            <w:tcBorders>
              <w:bottom w:val="single" w:sz="8" w:color="auto"/>
            </w:tcBorders>
          </w:tcPr>
          <w:p>
            <w:pPr>
              <w:spacing w:after="0"/>
              <w:rPr>
                <w:sz w:val="20"/>
                <w:szCs w:val="20"/>
                <w:color w:val="auto"/>
              </w:rPr>
            </w:pPr>
          </w:p>
        </w:tc>
      </w:tr>
      <w:tr>
        <w:trPr>
          <w:trHeight w:val="209"/>
        </w:trPr>
        <w:tc>
          <w:tcPr>
            <w:tcW w:w="12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9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r>
      <w:tr>
        <w:trPr>
          <w:trHeight w:val="210"/>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960" w:type="dxa"/>
            <w:vAlign w:val="bottom"/>
          </w:tcPr>
          <w:p>
            <w:pPr>
              <w:spacing w:after="0"/>
              <w:rPr>
                <w:sz w:val="18"/>
                <w:szCs w:val="18"/>
                <w:color w:val="auto"/>
              </w:rPr>
            </w:pPr>
          </w:p>
        </w:tc>
        <w:tc>
          <w:tcPr>
            <w:tcW w:w="8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r>
      <w:tr>
        <w:trPr>
          <w:trHeight w:val="20"/>
        </w:trPr>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October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benefit</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Unbilled revenue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9"/>
        </w:trPr>
        <w:tc>
          <w:tcPr>
            <w:tcW w:w="80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 of other equipment</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r>
      <w:tr>
        <w:trPr>
          <w:trHeight w:val="210"/>
        </w:trPr>
        <w:tc>
          <w:tcPr>
            <w:tcW w:w="80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conversion transaction costs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5,289</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0"/>
        </w:trPr>
        <w:tc>
          <w:tcPr>
            <w:tcW w:w="2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2025</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135,666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(108,448</w:t>
            </w: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27,332</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2025</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5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17"/>
                <w:szCs w:val="17"/>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135,938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(109,418</w:t>
            </w: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26,634</w:t>
            </w: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1,929</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r>
      <w:tr>
        <w:trPr>
          <w:trHeight w:val="23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July 31, 2025</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136,219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(107,489)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28,844</w:t>
            </w:r>
          </w:p>
        </w:tc>
      </w:tr>
      <w:tr>
        <w:trPr>
          <w:trHeight w:val="183"/>
        </w:trPr>
        <w:tc>
          <w:tcPr>
            <w:tcW w:w="232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10,754</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October 31, 2025</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8,974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147,246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(107,427)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39,943</w:t>
            </w: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0"/>
        </w:trPr>
        <w:tc>
          <w:tcPr>
            <w:tcW w:w="2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1,406</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113,121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(128,307)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22,641</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2024</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1,406</w:t>
            </w:r>
          </w:p>
        </w:tc>
        <w:tc>
          <w:tcPr>
            <w:tcW w:w="5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113,169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(127,353)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23,643</w:t>
            </w: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798</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July 31, 2024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1,406</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113,215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(126,555)</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24,487</w:t>
            </w:r>
          </w:p>
        </w:tc>
      </w:tr>
      <w:tr>
        <w:trPr>
          <w:trHeight w:val="183"/>
        </w:trPr>
        <w:tc>
          <w:tcPr>
            <w:tcW w:w="232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1,291</w:t>
            </w:r>
          </w:p>
        </w:tc>
      </w:tr>
      <w:tr>
        <w:trPr>
          <w:trHeight w:val="203"/>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October 31, 2024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(110,479)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25,207</w:t>
            </w: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Liquidity and Summary of Significant Accounting Policies</w:t>
      </w:r>
    </w:p>
    <w:p>
      <w:pPr>
        <w:spacing w:after="0" w:line="227"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—MIND Technology, Inc., a Delaware corporation (the “Company”), was incorporated in 1987. The Company, through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Seamap Pte Ltd, MIND Maritime Acoustics, LLC, Seamap (Malaysia) Sdn Bhd and Seamap (UK) Ltd, collectively “Seamap”, designs, manufactures and sells a broad range of proprietary products for the seismic, hydrographic and offshore industries with product sales and support facilities based in Singapore, Malaysia, the United Kingdom and the state of Texas.</w:t>
      </w:r>
    </w:p>
    <w:p>
      <w:pPr>
        <w:spacing w:after="0" w:line="180"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—As of October 31, 2025, the Company had working capital of approximately $36.0 million, including cash and cash equivalents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$19.4 million, compared to working capital of approximately $23.5 million, including cash and cash equivalents of approximately $5.3 million as of January 31, 2025. The Company does not have a credit facility in place and depends on cash on hand and cash flows from operations to satisfy its liquidity needs. However, the Company believes it will have adequate liquidity to meet its future operating requirements through a combination of cash on hand, cash expected to be generated from operations, disciplined working capital management, potential financing secured by company-owned real property, and the issuance of equity securities or some other form of financing.</w:t>
      </w:r>
    </w:p>
    <w:p>
      <w:pPr>
        <w:spacing w:after="0" w:line="182" w:lineRule="exact"/>
        <w:rPr>
          <w:sz w:val="20"/>
          <w:szCs w:val="20"/>
          <w:color w:val="auto"/>
        </w:rPr>
      </w:pPr>
    </w:p>
    <w:p>
      <w:pPr>
        <w:jc w:val="both"/>
        <w:ind w:right="28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—We describe our significant accounting policies in Note</w:t>
      </w:r>
      <w:r>
        <w:rPr>
          <w:rFonts w:ascii="Times New Roman" w:cs="Times New Roman" w:eastAsia="Times New Roman" w:hAnsi="Times New Roman"/>
          <w:sz w:val="18"/>
          <w:szCs w:val="18"/>
          <w:i w:val="1"/>
          <w:iCs w:val="1"/>
          <w:color w:val="auto"/>
        </w:rPr>
        <w:t xml:space="preserve"> 1 </w:t>
      </w:r>
      <w:r>
        <w:rPr>
          <w:rFonts w:ascii="Times New Roman" w:cs="Times New Roman" w:eastAsia="Times New Roman" w:hAnsi="Times New Roman"/>
          <w:sz w:val="18"/>
          <w:szCs w:val="18"/>
          <w:color w:val="auto"/>
        </w:rPr>
        <w:t>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our Annual Report on Form 10-K for the fiscal year ended January 31, 2025. During the three and nine months ended October 31, 2025, there were no changes to those accounting policies.</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2025, for the Company has been derived from audited consolidated financial statements. The unaudited interim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These condensed consolidated financial statements should be read in conjunction with the consolidated financial statements and the related notes included in the Company’s Annual Report on Form 10-K for the year ended January 31, 2025 (“fiscal 2025”). In the opinion of the Company’s management, all adjustments, consisting only of normal recurring adjustments, necessary to present fairly the financial position as of October 31, 2025, the results of operations for the three and nine months ended October 31, 2025 and 2024, the cash flows for the nine months ended October 31, 2025 and 2024, and the statement of stockholders’ equity for the three and nine months ended October 31, 2025 and 2024, have been included in these condensed consolidated financial statements. The foregoing interim results are not necessarily indicative of the results of operations to be expected for the full fiscal year ending January 31, 2026 (“fiscal 2026”).</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seeks to improve transparency of income tax disclosures by requiring consistent categories and greater disaggregation of information in the rate reconciliation and income taxes paid disclosures. The updated guidance is effective for the Company on February 1, 2025. The adoption of this accounting standard did not have a material impact on the Company's consolidated financial statements.</w:t>
      </w:r>
    </w:p>
    <w:p>
      <w:pPr>
        <w:spacing w:after="0" w:line="18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("ASU 2024-03"), to enhance the disclosures public entities provide regarding specified information about certain costs and expenses at each interim and annual reporting period so that investors can better understand an entity’s overall performance, including its cost structure, and assess potential future cash flows. ASU 2024-03 is effective for the Company for annual periods beginning February 1, 2027, and interim periods within fiscal years beginning February 1, 2028. The Company is evaluating the new guidance to determine the impact it will have on the disclosures to its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w:t>
            </w: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October</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recognized at a point in time: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4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30,443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recognized over time: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31,819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geography, based on the location of our customers' headquarters: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w:t>
            </w: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October</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31,819</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7"/>
          <w:szCs w:val="17"/>
          <w:color w:val="auto"/>
        </w:rPr>
        <w:t>The revenue from products manufactured and sold by our Seamap business is generally recognized at a point in time, or when the customer takes possession of the product, based on the terms and conditions stipulated in our contracts with customers. However, revenue is recognized over time when our Seamap business provides repair and maintenance services, or performs upgrades, on customer-owned equipment, which occurs periodically. In addition, our Seamap business provides annual Software Maintenance Agreements (“SMAs”) to customers who have an active license for software embedded in Seamap products. The revenue from SMAs is recognized over time, with the total value of the SMAs amortized in equal monthly amounts over the life of the contract. The duration of SMAs is typically one year or less. We do not have elements of variable consideration within these contracts.</w:t>
      </w:r>
    </w:p>
    <w:p>
      <w:pPr>
        <w:spacing w:after="0" w:line="17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2025 and January 31, 2025, due to the nature of our contracts and the services and products we provide, there were no significant outstanding liability balances for refunds or returns. Our warranties are limited to assurance warranties that are of a standard length and are not considered to be material rights. For the nine months ended October 31, 2025 and October 31, 2024, we did not recognize revenue from performance obligations satisfied in a prior period.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Prepayments and deferred revenue on SMAs have a significant impact on our contract liabilities. Considering the products manufactured and sold by our Seamap business and the Company’s standard contract terms and conditions, we expect our contract assets and liabilities to turn over, on average, within a three to six-month period. We do not have any long-term service contracts or related long-term contract assets or liabilities. Costs to obtain and fulfill contracts are considered immaterial and are expensed during the period when incurred. Contract liabilities decreased by approximately $1.2 million during the nine months ended October 31, 2025 due primarily to recognition of revenue during the current fiscal year.</w:t>
      </w:r>
    </w:p>
    <w:p>
      <w:pPr>
        <w:spacing w:after="0" w:line="3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31, 2025, and October 31, 2024, contract assets and liabilities consisted of the following:</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beginning balance</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accrued</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billed</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unbilled revenue</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Contract Liabilities: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beginning balance</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recognized</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revenue &amp; customer deposits</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520" w:firstLine="450"/>
        <w:spacing w:after="0" w:line="266" w:lineRule="auto"/>
        <w:rPr>
          <w:sz w:val="20"/>
          <w:szCs w:val="20"/>
          <w:color w:val="auto"/>
        </w:rPr>
      </w:pPr>
      <w:r>
        <w:rPr>
          <w:rFonts w:ascii="Times New Roman" w:cs="Times New Roman" w:eastAsia="Times New Roman" w:hAnsi="Times New Roman"/>
          <w:sz w:val="18"/>
          <w:szCs w:val="18"/>
          <w:color w:val="auto"/>
        </w:rPr>
        <w:t>With respect to the presentation of contract assets and liabilities above, sales and transaction-based taxes are excluded from revenue. Also, we expense costs incurred to obtain contracts because the amortization period would be one year or less. These costs are recorded in selling, general and administrative expenses.</w:t>
      </w:r>
    </w:p>
    <w:p>
      <w:pPr>
        <w:sectPr>
          <w:pgSz w:w="11900" w:h="16838" w:orient="portrait"/>
          <w:cols w:equalWidth="0" w:num="1">
            <w:col w:w="11240"/>
          </w:cols>
          <w:pgMar w:left="320" w:top="121" w:right="339" w:bottom="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w:t>
            </w:r>
          </w:p>
        </w:tc>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7,827</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Work in progress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inventories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allowance for obsolescence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49"/>
        </w:trPr>
        <w:tc>
          <w:tcPr>
            <w:tcW w:w="8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 net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11,713</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r>
      <w:tr>
        <w:trPr>
          <w:trHeight w:val="413"/>
        </w:trPr>
        <w:tc>
          <w:tcPr>
            <w:tcW w:w="84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160" w:type="dxa"/>
            <w:vAlign w:val="bottom"/>
            <w:tcBorders>
              <w:top w:val="single" w:sz="8" w:color="CCEEFF"/>
            </w:tcBorders>
          </w:tcPr>
          <w:p>
            <w:pPr>
              <w:spacing w:after="0"/>
              <w:rPr>
                <w:sz w:val="24"/>
                <w:szCs w:val="24"/>
                <w:color w:val="auto"/>
              </w:rPr>
            </w:pPr>
          </w:p>
        </w:tc>
        <w:tc>
          <w:tcPr>
            <w:tcW w:w="14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9,201</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Autos and trucks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 and buildings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property and equipment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As of January 31, 2025, the Company completed an annual review of property and equipment noting no indications that the recorded value of assets may not be recoverable, and no impairment was recorded for fiscal 2025. Since January 31, 2025, there have been no changes to the market, economic or legal environment in which the Company operates or overall performance of the Company, that would, in the aggregate, indicate additional impairment analysis is necessary as of October 31, 2025. Depreciation expense on property and equipment for the three and nine months ended October 31, 2025 was approximately $79,000 and $221,000, respectively. Depreciation expense on property and equipment for the three and nine months ended October 31, 2024 was approximately $75,000 and $233,000,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The Company has certain non-cancelable operating lease agreements for office, production and warehouse space in Texas, Singapore, Malaysia, and the United Kingdom.</w:t>
      </w:r>
    </w:p>
    <w:p>
      <w:pPr>
        <w:spacing w:after="0" w:line="162"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Lease expense for the three and nine months ended October 31, 2025, was approximately $232,000 and $697,000, respectively. Lease expense for the three and nine months ended October 31, 2024, was approximately $221,000 and $643,000, respectively, and was recorded as a component of operating income.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October 31, 2025 and January 31, 2025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2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0" w:type="dxa"/>
            <w:vAlign w:val="bottom"/>
          </w:tcPr>
          <w:p>
            <w:pPr>
              <w:spacing w:after="0"/>
              <w:rPr>
                <w:sz w:val="18"/>
                <w:szCs w:val="18"/>
                <w:color w:val="auto"/>
              </w:rPr>
            </w:pPr>
          </w:p>
        </w:tc>
        <w:tc>
          <w:tcPr>
            <w:tcW w:w="8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 of lease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20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49"/>
        </w:trPr>
        <w:tc>
          <w:tcPr>
            <w:tcW w:w="200" w:type="dxa"/>
            <w:vAlign w:val="bottom"/>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r>
      <w:tr>
        <w:trPr>
          <w:trHeight w:val="413"/>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Lease-term and discount rate details as of October 31, 2025 and January 31, 2025 were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20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discount rate was calculated using the Company's weighted average cost of capital.</w:t>
      </w:r>
    </w:p>
    <w:p>
      <w:pPr>
        <w:sectPr>
          <w:pgSz w:w="11900" w:h="16838" w:orient="portrait"/>
          <w:cols w:equalWidth="0" w:num="1">
            <w:col w:w="11320"/>
          </w:cols>
          <w:pgMar w:left="320" w:top="108" w:right="259" w:bottom="1149" w:gutter="0" w:footer="0" w:header="0"/>
        </w:sect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08" w:right="259" w:bottom="1149"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October 31,</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gridSpan w:val="3"/>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lease balances resulting from new and modified leases: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414"/>
        </w:trPr>
        <w:tc>
          <w:tcPr>
            <w:tcW w:w="3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w:t>
            </w: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October 31, 2025 were as follows: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Borders>
              <w:top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under lease agreements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00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Life at</w:t>
            </w: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rights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(5,501)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(4,884)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(2,269)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15,511</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(13,203)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completed an annual review of amortizable intangible assets. Based on a review of qualitative factors, it was determined that there were no events or changes in circumstances indicating that the carrying value of amortizable intangible assets was not recoverable. During the nine months ended October 31, 2025, there have been no substantive indicators of impairment.</w:t>
      </w:r>
    </w:p>
    <w:p>
      <w:pPr>
        <w:spacing w:after="0" w:line="176"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Aggregate amortization expense was approximately $138,000 and $432,000 for the three and nine months ended October 31, 2025, respectively, and approximately $146,000 and $491,000 for the three and nine months ended October 31, 2024, respectively. As of October 31, 2025, future estimated amortization expense related to amortizable intangible assets was estimated to be:</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fiscal years ending January 31,</w:t>
            </w: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9"/>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For the three- and nine-month periods ended October 31, 2025, our income tax expense, pre-tax income, and effective tax rate were approximately $716,000, $778,000, and 92%, respectively, and $1.7 million, $2.7 million, and 63%, respectively. The effective tax rate for the three-month period is driven primarily by net discrete tax expense recognized in the period consisting of return-to-provision and transfer pricing tax adjustments recorded by our Singapore entity, and because we do not benefit from tax losses in the U.S. and certain foreign jurisdictions where we have valuation allowances recorded against our deferred tax assets. The effective rate for the nine-month period is driven primarily by tax losses in the U.S. and certain foreign jurisdictions for which no tax benefit is recognized due to valuation allowances recorded against our deferred tax assets, and by the net discrete tax expense described above.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and nine-month periods ended October 31, 2024, our income tax expense, pre-tax income, and effective tax rate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$396,000, $1.7 million, and 23%, respectively, and $1.3 million, $4.4 million, and 30%, respectively. The variance between our effective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and the U.S. statutory rate of 21% for the three- and nine-month periods is due primarily to the impact of income taxes accrued in certain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mainly Singapore, which do not have net operating losses available to offset taxable income, and because we do not benefit from tax losses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and certain foreign jurisdictions where we have valuation allowances recorded against our deferred tax assets.</w:t>
      </w:r>
    </w:p>
    <w:p>
      <w:pPr>
        <w:spacing w:after="0" w:line="207"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Valuation allowances have been provided against all deferred tax assets in the United States and certain foreign jurisdictions, including the United Kingdom.</w:t>
      </w:r>
    </w:p>
    <w:p>
      <w:pPr>
        <w:spacing w:after="0" w:line="162"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This legislation introduces several measures, including the permanent extension of select provisions from the Tax Cuts and Jobs Act, revisions to the international tax framework, and the reinstatement of favorable tax treatment for certain business-related items. The OBBBA contains multiple effective dates, with key provisions beginning in fiscal 2026. While we are still assessing the overall impact of the OBBBA, we do not anticipate a material impact on our tax expense.</w:t>
      </w:r>
    </w:p>
    <w:p>
      <w:pPr>
        <w:spacing w:after="0" w:line="180"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as well as separate returns for its foreign subsidiaries within their local jurisdictions. The Company's U.S. federal tax returns are subject to examination by the Internal Revenue Service for fiscal years ended January 31, 2019 through 2025. The Company’s tax returns may also be subject to examination by state and local tax authorities for fiscal years ending January 31, 2017 through 2024. The Company's Singapore income tax returns are subject to examination by the Singapore tax authorities for the fiscal years ended January 31, 2017, through 2025. The Company’s tax returns in other foreign jurisdictions are generally subject to examination for the fiscal years ended January 31, 2018 through 2025.</w:t>
      </w:r>
    </w:p>
    <w:p>
      <w:pPr>
        <w:spacing w:after="0" w:line="187"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undistributed earnings of foreign subsidiaries are not deemed to be indefinitely reinvested outside of the United States as of October 31, 2025. Furthermore, the Company has concluded that any deferred taxes with respect to the undistributed foreign earnings would be immaterial. Therefore, the Company has not recorded a deferred tax liability associated with the undistributed foreign earnings as of October 31, 2025.</w:t>
      </w:r>
    </w:p>
    <w:p>
      <w:pPr>
        <w:spacing w:after="0" w:line="180" w:lineRule="exact"/>
        <w:rPr>
          <w:sz w:val="20"/>
          <w:szCs w:val="20"/>
          <w:color w:val="auto"/>
        </w:rPr>
      </w:pPr>
    </w:p>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For the three- and nine-month periods ended October 31, 2025 and 2024, the Company did not recognize any tax expense or benefit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Net income per basic common share is computed using the weighted average number of common shares outstanding during the period, excluding unvested restricted stock. Net income per diluted common share is computed using the weighted average number of common shares and dilutive potential common shares outstanding during the period using the treasury stock method. Potential common shares result from the assumed exercise of outstanding common stock options having a dilutive effect and from the assumed vesting of unvested shares of restricted stock. For the three months ended October 31, 2025 and October 31, 2024, dilutive potential common shares outstanding had no effect on the calculation of earnings per share. The total basic weighted average common shares outstanding for the three months ended October 31, 2025, and October 31, 2024, was approximately 8.0 million and 5.5 million shares, respectively. The total basic weighted average common shares outstanding for the nine months ended October 31, 2025 and October 31, 2024 were approximately 8.0 million and 2.8 million shares, respectively.</w:t>
      </w:r>
    </w:p>
    <w:p>
      <w:pPr>
        <w:spacing w:after="0" w:line="192" w:lineRule="exact"/>
        <w:rPr>
          <w:sz w:val="20"/>
          <w:szCs w:val="20"/>
          <w:color w:val="auto"/>
        </w:rPr>
      </w:pPr>
    </w:p>
    <w:p>
      <w:pPr>
        <w:jc w:val="both"/>
        <w:ind w:right="580" w:firstLine="486"/>
        <w:spacing w:after="0" w:line="266" w:lineRule="auto"/>
        <w:rPr>
          <w:sz w:val="20"/>
          <w:szCs w:val="20"/>
          <w:color w:val="auto"/>
        </w:rPr>
      </w:pPr>
      <w:r>
        <w:rPr>
          <w:rFonts w:ascii="Times New Roman" w:cs="Times New Roman" w:eastAsia="Times New Roman" w:hAnsi="Times New Roman"/>
          <w:sz w:val="18"/>
          <w:szCs w:val="18"/>
          <w:color w:val="auto"/>
        </w:rPr>
        <w:t>On September 4, 2024, all outstanding shares of our 9.00% Series A Cumulative preferred stock (the “preferred stock”) were converted into common stock and retired. The Company issued approximately 6,600,000 shares of common stock in connection with the conversion (see Note 11-"Equity and Stock Based Compensation" for additional details).</w:t>
      </w:r>
    </w:p>
    <w:p>
      <w:pPr>
        <w:spacing w:after="0" w:line="176"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On August 28, 2025, the Company entered into an equity distribution agreement (the “Sales Agreement”) with Lucid Capital Markets, LLC (the “Lucid”), pursuant to which the Company may offer and sell up to $25.0 million of shares (the “Shares”) of the Company’s common stock, par value $0.01 per share, through an at-the-market (“ATM”) offering program administered by Lucid. Under the Sales Agreement, Lucid is entitled to compensation of up to 2% of the gross proceeds from the sale of Shares under the ATM offering program. The Company has no obligation to sell any of the Shares under the Sales Agreement and may suspend solicitations and offers under the Sales Agreement at any time. During the three and nine months ended October 31, 2025, the Company sold approximately 1.0 million shares of common stock at-the-market pursuant to the Sales Agreement. Proceeds from the sales of common stock, net of Lucid's commissions and other expenses, for the three and nine months ended October 31, 2025 were approximately $10.8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w:t>
      </w:r>
    </w:p>
    <w:p>
      <w:pPr>
        <w:spacing w:after="0" w:line="22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In February 2025, the Company retained Lucid to provide advisor and arrangement services for investigation and analysis of opportunities for growth and additional scale. Lucid received $100,000 in retainer fees for such potential services. The Vice Chairman of Lucid is the Non-Executive Chairman of the Company's board of directors (the "Board"). Our Non-Executive Chairman of the Board received no portion of the above-mentioned compensation.</w:t>
      </w:r>
    </w:p>
    <w:p>
      <w:pPr>
        <w:spacing w:after="0" w:line="176"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October 31, 2025, Lucid received compensation of approximately $221,000 related to sales of common stock pursuant to the Sales Agreement. The Non-Executive Chairman of the Board received no portion of the compensation paid to Lucid. See Note 9 - "Earnings per Share" for discussion of the Company's entry into the Sales Agreement with Lucid.</w:t>
      </w:r>
    </w:p>
    <w:p>
      <w:pPr>
        <w:sectPr>
          <w:pgSz w:w="11900" w:h="16886" w:orient="portrait"/>
          <w:cols w:equalWidth="0" w:num="1">
            <w:col w:w="11240"/>
          </w:cols>
          <w:pgMar w:left="320" w:top="121" w:right="33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and Stock-Based Compensation</w:t>
      </w:r>
    </w:p>
    <w:p>
      <w:pPr>
        <w:spacing w:after="0" w:line="229" w:lineRule="exact"/>
        <w:rPr>
          <w:sz w:val="20"/>
          <w:szCs w:val="20"/>
          <w:color w:val="auto"/>
        </w:rPr>
      </w:pPr>
    </w:p>
    <w:p>
      <w:pPr>
        <w:ind w:right="120" w:firstLine="485"/>
        <w:spacing w:after="0" w:line="257" w:lineRule="auto"/>
        <w:rPr>
          <w:sz w:val="20"/>
          <w:szCs w:val="20"/>
          <w:color w:val="auto"/>
        </w:rPr>
      </w:pPr>
      <w:r>
        <w:rPr>
          <w:rFonts w:ascii="Times New Roman" w:cs="Times New Roman" w:eastAsia="Times New Roman" w:hAnsi="Times New Roman"/>
          <w:sz w:val="18"/>
          <w:szCs w:val="18"/>
          <w:color w:val="auto"/>
        </w:rPr>
        <w:t>At the virtual Special Meeting of Preferred Stockholders held on August 29, 2024, our preferred stockholders approved an amendment (the “Amendment”) to our Certificate of Designations, Preferences and Rights of 9.00% Series A Cumulative Preferred Stock, to provide that, at the discretion of the Board deciding to file the Amendment with the Secretary of State of the State of Delaware at any time prior to October 31, 2024, each share of</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9.00% Series A Cumulative preferred stock, $1.00 par value per share (the “preferred stock”) would be converted (the “Conversion”) into 3.9 shares of common stock upon the effective time of the Amendment. On August 30, 2024, the Board elected to proceed with the Conversion by filing the Amendment with the Delaware Secretary of State. Effective on September 4, 2024, all outstanding shares of preferred stock were converted into common stock and retired. The Company issued approximately 6,600,000 shares of common stock in connection with the Conversion. Accordingly, the Company no longer has obligations regarding preferred stock dividends, including undeclared dividends from previous periods. The common stock issued was recorded at its market value at the date of issuance less transaction costs related to the conversion. The excess of the carrying value of the preferred stock over the market value of the common stock issued, which amounted to approximately $14.8 million, was credited directly to accumulated deficit and was reflected in the calculation of earnings per share attributable to common stockholders for the fiscal year ended January 31, 2025.</w:t>
      </w:r>
    </w:p>
    <w:p>
      <w:pPr>
        <w:spacing w:after="0" w:line="194"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Total compensation expense recognized for stock-based awards granted under the Company’s equity incentive plan during the three- and nine-month periods ended October 31, 2025 was approximately $283,000 and $836,000, respectively and for the three- and nine-month periods ended October 31, 2024, was approximately $47,000 and $141,000,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2025, Seamap Marine Products is the Company’s sole reporting segment.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Seamap Marine Products segment provides the following:</w:t>
      </w:r>
    </w:p>
    <w:p>
      <w:pPr>
        <w:spacing w:after="0" w:line="225" w:lineRule="exact"/>
        <w:rPr>
          <w:sz w:val="20"/>
          <w:szCs w:val="20"/>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GunLink seismic source acquisition and control systems</w:t>
      </w:r>
    </w:p>
    <w:p>
      <w:pPr>
        <w:spacing w:after="0" w:line="27" w:lineRule="exact"/>
        <w:rPr>
          <w:rFonts w:ascii="Times New Roman" w:cs="Times New Roman" w:eastAsia="Times New Roman" w:hAnsi="Times New Roman"/>
          <w:sz w:val="18"/>
          <w:szCs w:val="18"/>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BuoyLink relative global navigation satellite positioning systems</w:t>
      </w:r>
    </w:p>
    <w:p>
      <w:pPr>
        <w:spacing w:after="0" w:line="9" w:lineRule="exact"/>
        <w:rPr>
          <w:rFonts w:ascii="Times New Roman" w:cs="Times New Roman" w:eastAsia="Times New Roman" w:hAnsi="Times New Roman"/>
          <w:sz w:val="18"/>
          <w:szCs w:val="18"/>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SeaLink marine sensors and solid streamer systems</w:t>
      </w:r>
    </w:p>
    <w:p>
      <w:pPr>
        <w:spacing w:after="0" w:line="207"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Seamap Marine Products segment provides services and products, including engineering, repairs and software licensing, utilized in marine exploration, marine survey and maritime security for marine survey companies, seismic survey contractors, research institutes, non-military government organizations and operators of port facilities and other offshore installations.</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Our CODM analyzes each segment's performance using revenue and operating income. Inter-company revenue and expenses have been eliminated in the reported revenue and operating income. Our CODM considers revenue and operating income in the annual budgeting and forecasting process and analyzes these on a periodic basis when making determinations on the allocation of resources.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by business segment is set forth below net of any allocations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Seamap</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Marine</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Marine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October 31,</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Seamap</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Marine</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Marine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9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Corporate selling, general and administrative expense primarily includes salary and benefit costs of corporate personnel, directors’ fees, professional services, office rent, and insurance premiums.</w:t>
      </w:r>
    </w:p>
    <w:p>
      <w:pPr>
        <w:sectPr>
          <w:pgSz w:w="11900" w:h="16838" w:orient="portrait"/>
          <w:cols w:equalWidth="0" w:num="1">
            <w:col w:w="11240"/>
          </w:cols>
          <w:pgMar w:left="320" w:top="121" w:right="339" w:bottom="177"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90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operating income to income before income taxes (in thousands):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00" w:type="dxa"/>
            <w:vAlign w:val="bottom"/>
          </w:tcPr>
          <w:p>
            <w:pPr>
              <w:spacing w:after="0"/>
              <w:rPr>
                <w:sz w:val="24"/>
                <w:szCs w:val="24"/>
                <w:color w:val="auto"/>
              </w:rPr>
            </w:pPr>
          </w:p>
        </w:tc>
        <w:tc>
          <w:tcPr>
            <w:tcW w:w="26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09"/>
        </w:trPr>
        <w:tc>
          <w:tcPr>
            <w:tcW w:w="128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8"/>
                <w:szCs w:val="18"/>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Seamap Marine Products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7,815</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(3,779)</w:t>
            </w:r>
          </w:p>
        </w:tc>
      </w:tr>
      <w:tr>
        <w:trPr>
          <w:trHeight w:val="209"/>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4,036</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8"/>
                <w:szCs w:val="18"/>
                <w:color w:val="auto"/>
              </w:rPr>
            </w:pPr>
          </w:p>
        </w:tc>
        <w:tc>
          <w:tcPr>
            <w:tcW w:w="13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4,356</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13"/>
        </w:trPr>
        <w:tc>
          <w:tcPr>
            <w:tcW w:w="60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Total assets by business segment is set forth below (in thousands):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As of October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Seamap Marine Products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80" w:type="dxa"/>
            <w:vAlign w:val="bottom"/>
            <w:shd w:val="clear" w:color="auto" w:fill="CCEEFF"/>
          </w:tcPr>
          <w:p>
            <w:pPr>
              <w:spacing w:after="0"/>
              <w:rPr>
                <w:sz w:val="18"/>
                <w:szCs w:val="18"/>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r>
      <w:tr>
        <w:trPr>
          <w:trHeight w:val="223"/>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Depreciation expense on property and equipment, reflected in the table above, was approximately $79,000 and $221,000 for the three and nine months ended October 31, 2025, respectively, and approximately $75,000 and $233,000 for the three and nine months ended October 31, 2024, respectively. Amortization expense primarily relating to intangible assets, reflected in the table above was approximately $138,000 and $432,000 for the three and nine months ended October 31, 2025, respectively, and approximately $146,000 and $491,000 for the three and nine months ended October 31, 2024, respectively. Essentially all depreciation and amortization expense relate to the Seamap Marine Products segment. Amortization in Corporate expenses relates to enterprise resource planning software.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property and equipment is allocated to the Seamap Marine Products segment. Corporate assets primarily consist of cash, right of use assets for an operating lease, and prepaid corporate expenses.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Geographic Operating Areas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is based on the location of our customers. See Note 4-"Revenue from Contracts with Customers" for disclosure of revenue by geographic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ABOUT FORWARD-LOOKING STATEMENTS</w:t>
      </w:r>
    </w:p>
    <w:p>
      <w:pPr>
        <w:spacing w:after="0" w:line="22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“Form 10-Q”) may constitute “forward-looking statements” within the meaning of the Private Securities Litigation Reform Act of 1995. All statements contained in this Form 10-Q other than statements of historical fact, including statements regarding our future results of operations and financial position, our business strategy and plans, and our objectives for future operations, are forward-looking statements. The words “believe,” “expect,” “may,” “will,” “anticipate,” “plan,” “intend,” “foresee,” “should,” “would,” “could” or other similar expressions are intended to identify forward-looking statements, which are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460" w:right="340" w:hanging="331"/>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manufacturing operations including availability and reliability of materials and components as well the reliability of the products that we manufacture and sell;</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customers;</w:t>
      </w:r>
    </w:p>
    <w:p>
      <w:pPr>
        <w:spacing w:after="0" w:line="9" w:lineRule="exact"/>
        <w:rPr>
          <w:rFonts w:ascii="Times New Roman" w:cs="Times New Roman" w:eastAsia="Times New Roman" w:hAnsi="Times New Roman"/>
          <w:sz w:val="18"/>
          <w:szCs w:val="18"/>
          <w:color w:val="auto"/>
        </w:rPr>
      </w:pPr>
    </w:p>
    <w:p>
      <w:pPr>
        <w:ind w:left="460" w:right="4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global supply chains due to various factors, including certain components and materials becoming unavailable, increased lead times for components and materials, as well as increased costs for such items;</w:t>
      </w:r>
    </w:p>
    <w:p>
      <w:pPr>
        <w:ind w:left="46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from suppliers for advance payments could increase our need for working capital; inability to access such working capital could impede our ability to complete orders;</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claims by third parties;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uncertainty in financial markets on our customers’ and our ability to obtain financing;</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strategic initiatives to grow our business;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foreign operations, including political, economic, currency, environmental regulation and export compliance risks;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circumstances beyond our control or that of our customers;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customers on amounts due to us;</w:t>
      </w:r>
    </w:p>
    <w:p>
      <w:pPr>
        <w:spacing w:after="0" w:line="9" w:lineRule="exact"/>
        <w:rPr>
          <w:rFonts w:ascii="Times New Roman" w:cs="Times New Roman" w:eastAsia="Times New Roman" w:hAnsi="Times New Roman"/>
          <w:sz w:val="18"/>
          <w:szCs w:val="18"/>
          <w:color w:val="auto"/>
        </w:rPr>
      </w:pPr>
    </w:p>
    <w:p>
      <w:pPr>
        <w:ind w:left="460" w:right="40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further impairment of our long-lived assets due to technological obsolescence or changes in anticipated cash flow generated from those assets;</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funding or to obtain funding under acceptable terms;</w:t>
      </w:r>
    </w:p>
    <w:p>
      <w:pPr>
        <w:spacing w:after="0" w:line="9" w:lineRule="exact"/>
        <w:rPr>
          <w:rFonts w:ascii="Times New Roman" w:cs="Times New Roman" w:eastAsia="Times New Roman" w:hAnsi="Times New Roman"/>
          <w:sz w:val="18"/>
          <w:szCs w:val="18"/>
          <w:color w:val="auto"/>
        </w:rPr>
      </w:pPr>
    </w:p>
    <w:p>
      <w:pPr>
        <w:ind w:left="460" w:right="52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seismic data, which is dependent on the level of spending by oil and gas companies for exploration, production and development activities, and may potentially negatively impact the value of our assets held for sale;</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price volatility in the global economy that could negatively impact our business and results of operations;</w:t>
      </w:r>
    </w:p>
    <w:p>
      <w:pPr>
        <w:spacing w:after="0" w:line="9" w:lineRule="exact"/>
        <w:rPr>
          <w:rFonts w:ascii="Times New Roman" w:cs="Times New Roman" w:eastAsia="Times New Roman" w:hAnsi="Times New Roman"/>
          <w:sz w:val="18"/>
          <w:szCs w:val="18"/>
          <w:color w:val="auto"/>
        </w:rPr>
      </w:pPr>
    </w:p>
    <w:p>
      <w:pPr>
        <w:ind w:left="460" w:right="58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future geopolitical events, which we cannot predict but which may adversely affect the markets in which we operate, our operations, or our results of operations; and</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business from security threats, including cybersecurity threats, and other disruptions.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additional information regarding known material factors that could cause our actual results to differ materially from our projected results, please see</w:t>
      </w:r>
    </w:p>
    <w:p>
      <w:pPr>
        <w:spacing w:after="0" w:line="29" w:lineRule="exact"/>
        <w:rPr>
          <w:sz w:val="20"/>
          <w:szCs w:val="20"/>
          <w:color w:val="auto"/>
        </w:rPr>
      </w:pPr>
    </w:p>
    <w:p>
      <w:pPr>
        <w:ind w:right="260" w:firstLine="8"/>
        <w:spacing w:after="0" w:line="260"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Form 10-Q, (2) 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January 31, 2025, and (3)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other filings filed with the SEC from time to time.</w:t>
      </w:r>
    </w:p>
    <w:p>
      <w:pPr>
        <w:spacing w:after="0" w:line="17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There may be other factors of which the Company is not currently aware that may affect matters discussed in the forward-looking statements and may also cause actual results to differ materially from those discussed. Readers are cautioned not to place undue reliance on forward-looking statements, which speak only as of the date hereof. We undertake no obligation to publicly update or revise any forward-looking statement after the date they are made, whether as the result of new information, future events or otherwise, except as required by law. All forward-looking statements included herein are expressly qualified in their entirety by the cautionary statements contained or referred to in this section.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performance of our Seamap business is indicated by revenues from sales of products and by gross profit from those sales. Management monitors EBITDA and Adjusted EBITDA, both as defined and reconciled to the most directly comparable financial measures calculated and presented in accordance with United States generally accepted accounting principles (“GAAP”), in the following table, as key indicators of our overall performance and liquidity.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EBITDA (1)</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147"/>
        </w:trPr>
        <w:tc>
          <w:tcPr>
            <w:tcW w:w="5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Reconciliation of Net Cash (Used in) Provided by Operating Activities to</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and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EBITDA (1)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580" w:hanging="329"/>
        <w:spacing w:after="0" w:line="25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variety of products used primarily in seismic and marine survey industries. Seamap’s primary products include (i) the GunLink seismic source acquisition and control systems; (ii) the BuoyLink RGPS tracking system used to provide precise positioning of seismic sources and streamers (marine recording channels that are towed behind a vessel) and (iii) SeaLink marine sensors and solid streamer systems (collectively, the “SeaLink” product line or “towed streamer products”). These towed streamer products are primarily designed for three-dimensional, high-resolution marine surveys in marine survey applications.</w:t>
      </w:r>
    </w:p>
    <w:p>
      <w:pPr>
        <w:spacing w:after="0" w:line="183" w:lineRule="exact"/>
        <w:rPr>
          <w:sz w:val="20"/>
          <w:szCs w:val="20"/>
          <w:color w:val="auto"/>
        </w:rPr>
      </w:pPr>
    </w:p>
    <w:p>
      <w:pPr>
        <w:jc w:val="both"/>
        <w:ind w:right="580" w:firstLine="450"/>
        <w:spacing w:after="0" w:line="266" w:lineRule="auto"/>
        <w:rPr>
          <w:sz w:val="20"/>
          <w:szCs w:val="20"/>
          <w:color w:val="auto"/>
        </w:rPr>
      </w:pPr>
      <w:r>
        <w:rPr>
          <w:rFonts w:ascii="Times New Roman" w:cs="Times New Roman" w:eastAsia="Times New Roman" w:hAnsi="Times New Roman"/>
          <w:sz w:val="18"/>
          <w:szCs w:val="18"/>
          <w:color w:val="auto"/>
        </w:rPr>
        <w:t>Our results of operations can experience fluctuations in activity levels due to a number of factors outside of our control. These factors include budgetary or financial concerns, supply chain issues, labor or political issues, inclement weather, and global pandemics. See Part II, Item 1A- “Risk Factors.”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229" w:lineRule="exact"/>
        <w:rPr>
          <w:sz w:val="20"/>
          <w:szCs w:val="20"/>
          <w:color w:val="auto"/>
        </w:rPr>
      </w:pPr>
    </w:p>
    <w:p>
      <w:pPr>
        <w:jc w:val="both"/>
        <w:ind w:right="40" w:firstLine="414"/>
        <w:spacing w:after="0" w:line="266" w:lineRule="auto"/>
        <w:rPr>
          <w:sz w:val="20"/>
          <w:szCs w:val="20"/>
          <w:color w:val="auto"/>
        </w:rPr>
      </w:pPr>
      <w:r>
        <w:rPr>
          <w:rFonts w:ascii="Times New Roman" w:cs="Times New Roman" w:eastAsia="Times New Roman" w:hAnsi="Times New Roman"/>
          <w:sz w:val="18"/>
          <w:szCs w:val="18"/>
          <w:color w:val="auto"/>
        </w:rPr>
        <w:t>Our financial performance has improved significantly in recent periods. Although we had a history of generating operating losses prior to fiscal 2024, we generated operating income in fiscal 2024, fiscal 2025 and year-to-date through the first nine months of fiscal 2026. This was due to increased demand within our primary markets and efforts to reduce costs and improve product margins.</w:t>
      </w:r>
    </w:p>
    <w:p>
      <w:pPr>
        <w:spacing w:after="0" w:line="176" w:lineRule="exact"/>
        <w:rPr>
          <w:sz w:val="20"/>
          <w:szCs w:val="20"/>
          <w:color w:val="auto"/>
        </w:rPr>
      </w:pPr>
    </w:p>
    <w:p>
      <w:pPr>
        <w:ind w:right="100" w:firstLine="414"/>
        <w:spacing w:after="0" w:line="261" w:lineRule="auto"/>
        <w:rPr>
          <w:sz w:val="20"/>
          <w:szCs w:val="20"/>
          <w:color w:val="auto"/>
        </w:rPr>
      </w:pPr>
      <w:r>
        <w:rPr>
          <w:rFonts w:ascii="Times New Roman" w:cs="Times New Roman" w:eastAsia="Times New Roman" w:hAnsi="Times New Roman"/>
          <w:sz w:val="18"/>
          <w:szCs w:val="18"/>
          <w:color w:val="auto"/>
        </w:rPr>
        <w:t>During the nine-month period ended October 31, 2025, our facility in Huntsville, Texas underwent an expansion to handle an expected increase in activity and, as a result, repair and production activities were suspended for several months during the period. The expansion of the facility was completed at the end of the second quarter of fiscal 2026 and repair and production operations recommenced in the third quarter of fiscal 2026. We therefore expect a corresponding increase in revenue from this facility.</w:t>
      </w:r>
    </w:p>
    <w:p>
      <w:pPr>
        <w:spacing w:after="0" w:line="180"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As of October 31, 2025, our backlog of firm orders was approximately $7.2 million, compared to approximately $16.9 million as of January 31, 2025. However, subsequent to October 31, 2025 we received additional orders totaling approximately $9.5 million. We believe a significant portion of our current backlog and the newly received orders will be completed and shipped by the end of fiscal 2026. In addition to our backlog of firm orders, we have a significant pipeline of pending and potential orders, and we have recently identified new opportunities for later this fiscal year and subsequent periods. We believe our backlog of firm orders, pending and potential orders, and identified new opportunities provide visibility for the balance of fiscal 2026 and into the next fiscal year. The level of backlog at a particular point in time may not necessarily be indicative of results in subsequent periods as the size and delivery period of individual orders can vary significantly.</w:t>
      </w:r>
    </w:p>
    <w:p>
      <w:pPr>
        <w:spacing w:after="0" w:line="189" w:lineRule="exact"/>
        <w:rPr>
          <w:sz w:val="20"/>
          <w:szCs w:val="20"/>
          <w:color w:val="auto"/>
        </w:rPr>
      </w:pPr>
    </w:p>
    <w:p>
      <w:pPr>
        <w:ind w:right="20" w:firstLine="414"/>
        <w:spacing w:after="0" w:line="258" w:lineRule="auto"/>
        <w:rPr>
          <w:sz w:val="20"/>
          <w:szCs w:val="20"/>
          <w:color w:val="auto"/>
        </w:rPr>
      </w:pPr>
      <w:r>
        <w:rPr>
          <w:rFonts w:ascii="Times New Roman" w:cs="Times New Roman" w:eastAsia="Times New Roman" w:hAnsi="Times New Roman"/>
          <w:sz w:val="18"/>
          <w:szCs w:val="18"/>
          <w:color w:val="auto"/>
        </w:rPr>
        <w:t>Based on this visibility and expected delivery schedules, we expect revenue in the fourth quarter of fiscal 2026 to improve related to the third quarter of fiscal 2026. While our long-term outlook for our existing product lines is optimistic, the outlook for fiscal 2027 is less clear. We believe this uncertainty is due to recent delays in certain projects and temporary changes in capital allocations by ultimate end-users. We are currently pursuing a number of initiatives, including new products and significant project opportunities, which could have a positive impact on our future financial results, including those in fiscal 2027.</w:t>
      </w:r>
    </w:p>
    <w:p>
      <w:pPr>
        <w:spacing w:after="0" w:line="183" w:lineRule="exact"/>
        <w:rPr>
          <w:sz w:val="20"/>
          <w:szCs w:val="20"/>
          <w:color w:val="auto"/>
        </w:rPr>
      </w:pPr>
    </w:p>
    <w:p>
      <w:pPr>
        <w:ind w:right="100" w:firstLine="414"/>
        <w:spacing w:after="0" w:line="266" w:lineRule="auto"/>
        <w:rPr>
          <w:sz w:val="20"/>
          <w:szCs w:val="20"/>
          <w:color w:val="auto"/>
        </w:rPr>
      </w:pPr>
      <w:r>
        <w:rPr>
          <w:rFonts w:ascii="Times New Roman" w:cs="Times New Roman" w:eastAsia="Times New Roman" w:hAnsi="Times New Roman"/>
          <w:sz w:val="18"/>
          <w:szCs w:val="18"/>
          <w:color w:val="auto"/>
        </w:rPr>
        <w:t>On September 4, 2024, all outstanding shares of preferred stock were converted into common stock and retired. The Company issued approximately 6.6 million shares of common stock in connection with the conversion. Accordingly, the Company no longer has obligations regarding preferred stock dividends, including undeclared dividends from previous periods (see Note 11- “Equity and Stock-Based Compensation” for additional details).</w:t>
      </w:r>
    </w:p>
    <w:p>
      <w:pPr>
        <w:spacing w:after="0" w:line="176" w:lineRule="exact"/>
        <w:rPr>
          <w:sz w:val="20"/>
          <w:szCs w:val="20"/>
          <w:color w:val="auto"/>
        </w:rPr>
      </w:pPr>
    </w:p>
    <w:p>
      <w:pPr>
        <w:ind w:right="120" w:firstLine="414"/>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2026, we raised approximately $10.8 million in new capital through the sale of common stock pursuant to the ATM program. The proceeds from sale of common stock significantly increased our liquidity and therefore our ability to take advantage of opportunities or address challenges that may arise.</w:t>
      </w:r>
    </w:p>
    <w:p>
      <w:pPr>
        <w:spacing w:after="0" w:line="176" w:lineRule="exact"/>
        <w:rPr>
          <w:sz w:val="20"/>
          <w:szCs w:val="20"/>
          <w:color w:val="auto"/>
        </w:rPr>
      </w:pPr>
    </w:p>
    <w:p>
      <w:pPr>
        <w:jc w:val="both"/>
        <w:ind w:right="260" w:firstLine="414"/>
        <w:spacing w:after="0" w:line="266" w:lineRule="auto"/>
        <w:rPr>
          <w:sz w:val="20"/>
          <w:szCs w:val="20"/>
          <w:color w:val="auto"/>
        </w:rPr>
      </w:pPr>
      <w:r>
        <w:rPr>
          <w:rFonts w:ascii="Times New Roman" w:cs="Times New Roman" w:eastAsia="Times New Roman" w:hAnsi="Times New Roman"/>
          <w:sz w:val="18"/>
          <w:szCs w:val="18"/>
          <w:color w:val="auto"/>
        </w:rPr>
        <w:t>Our revenues tend to fluctuate from quarter to quarter due to delivery schedules and other factors. We currently expect revenue in fiscal 2026 to be consistent with the revenue reported in fiscal 2025. However, no assurances of such results can be made, and a number of risks exist which could cause results to be less than anticipated. Those risks include the following:</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customers to accept delivery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orders;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including supply chain disruptions, which could delay the completion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orders not being received as expected;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delays beyond our control.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In our Seamap business, we address the marine survey and exploration markets. We see a number of opportunities to add to our technology and to apply existing technology and products to new applications. We also continue to pursue initiatives to further expand our product offerings. These initiatives include new internally developed technology, introduction of new products based on our existing technology, technology obtained through partnering arrangements with others and a combination of all of these efforts. However, we can give no assurance that any of these initiatives will ultimately have a material impact on our financial position or results of operations.</w:t>
      </w:r>
    </w:p>
    <w:p>
      <w:pPr>
        <w:spacing w:after="0" w:line="183" w:lineRule="exact"/>
        <w:rPr>
          <w:sz w:val="20"/>
          <w:szCs w:val="20"/>
          <w:color w:val="auto"/>
        </w:rPr>
      </w:pPr>
    </w:p>
    <w:p>
      <w:pPr>
        <w:ind w:right="780" w:firstLine="450"/>
        <w:spacing w:after="0" w:line="282" w:lineRule="auto"/>
        <w:rPr>
          <w:sz w:val="20"/>
          <w:szCs w:val="20"/>
          <w:color w:val="auto"/>
        </w:rPr>
      </w:pPr>
      <w:r>
        <w:rPr>
          <w:rFonts w:ascii="Times New Roman" w:cs="Times New Roman" w:eastAsia="Times New Roman" w:hAnsi="Times New Roman"/>
          <w:sz w:val="18"/>
          <w:szCs w:val="18"/>
          <w:color w:val="auto"/>
        </w:rPr>
        <w:t>We believe there are certain developments within the marine technology industry that can have a significant impact on our business. These developments include the following:</w:t>
      </w:r>
    </w:p>
    <w:p>
      <w:pPr>
        <w:spacing w:after="0" w:line="162" w:lineRule="exact"/>
        <w:rPr>
          <w:sz w:val="20"/>
          <w:szCs w:val="20"/>
          <w:color w:val="auto"/>
        </w:rPr>
      </w:pPr>
    </w:p>
    <w:p>
      <w:pPr>
        <w:ind w:left="980" w:right="1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activity within the marine exploration space, including applications for alternative energy projects such as offshore windfarms and carbon capture projects;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economical, commercially developed, technology for maritime security applications.</w:t>
      </w:r>
    </w:p>
    <w:p>
      <w:pPr>
        <w:spacing w:after="0" w:line="252" w:lineRule="exact"/>
        <w:rPr>
          <w:sz w:val="20"/>
          <w:szCs w:val="20"/>
          <w:color w:val="auto"/>
        </w:rPr>
      </w:pPr>
    </w:p>
    <w:p>
      <w:pPr>
        <w:ind w:right="720" w:firstLine="450"/>
        <w:spacing w:after="0" w:line="282" w:lineRule="auto"/>
        <w:rPr>
          <w:sz w:val="20"/>
          <w:szCs w:val="20"/>
          <w:color w:val="auto"/>
        </w:rPr>
      </w:pPr>
      <w:r>
        <w:rPr>
          <w:rFonts w:ascii="Times New Roman" w:cs="Times New Roman" w:eastAsia="Times New Roman" w:hAnsi="Times New Roman"/>
          <w:sz w:val="18"/>
          <w:szCs w:val="18"/>
          <w:color w:val="auto"/>
        </w:rPr>
        <w:t>In response to these, and other, developments we have prioritized certain strategic initiatives to exploit these perceived opportunities. These initiatives include adaption of our SeaLink solid streamer technology to:</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applications, such as hydrographic surveys for windfarm and carbon capture projects;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security applications.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above applications expand our addressable markets and provide opportunities for further revenue growth.</w:t>
      </w:r>
    </w:p>
    <w:p>
      <w:pPr>
        <w:spacing w:after="0" w:line="225"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General inflation levels have increased in recent years due in part to supply chain issues, increased energy costs and geopolitical uncertainty. In addition, shortages of certain components, such as electronic components, have caused prices for available components to increase in some cases. Although these factors have had a negative impact on our costs, our revenues and results of operations have not been materially impacted by inflation or changing prices in the past two fiscal years.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240" w:firstLine="450"/>
        <w:spacing w:after="0" w:line="258" w:lineRule="auto"/>
        <w:rPr>
          <w:sz w:val="20"/>
          <w:szCs w:val="20"/>
          <w:color w:val="auto"/>
        </w:rPr>
      </w:pPr>
      <w:r>
        <w:rPr>
          <w:rFonts w:ascii="Times New Roman" w:cs="Times New Roman" w:eastAsia="Times New Roman" w:hAnsi="Times New Roman"/>
          <w:sz w:val="18"/>
          <w:szCs w:val="18"/>
          <w:color w:val="auto"/>
        </w:rPr>
        <w:t>Revenues for the three and nine months ended October 31, 2025 were approximately $9.7 million and $31.2 million, respectively, compared to approximately $12.1 million and $31.8 million for the three and nine months ended October 31, 2024, respectively. For the three and nine months ended October 31, 2025, we generated operating income of approximately $774,000 and $2.8 million, respectively, compared to operating income of approximately $1.9 million and $4.0 million for the three months ended October 31, 2024, respectively. A more detailed explanation of these variations follows.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Sales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Revenues and cost of sales for our Seamap business were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92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Seamap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12,105</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31,151</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31,819</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8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Seamap</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16,478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17,402</w:t>
            </w: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14,673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14,417</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 by source:</w:t>
            </w:r>
          </w:p>
        </w:tc>
        <w:tc>
          <w:tcPr>
            <w:tcW w:w="3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System sales</w:t>
            </w:r>
          </w:p>
        </w:tc>
        <w:tc>
          <w:tcPr>
            <w:tcW w:w="3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market activity</w:t>
            </w:r>
          </w:p>
        </w:tc>
        <w:tc>
          <w:tcPr>
            <w:tcW w:w="3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8"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A significant portion of Seamap’s sales consist of large discrete orders, the timing of which is dictated by our customers. This timing generally relates to the availability of a vessel so that our products can be installed. Accordingly, sales can significantly vary from one period to another. The remaining sales relate to “after-market” activity such as the sale of spare parts, repairs and services. The gross profit margin in the three- and nine-month periods ended October 31, 2025 increased from the prior year comparable periods primarily due to revenue mix.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three and nine months ended October 31, 2025, were approximately $3.0 million and $10.0 million, respectively compared to approximately $2.8 million and $8.3 million for the three and nine months ended October 31, 2024, respectively. The increase in general and administrative expenses in the comparable three-month periods is due primarily to higher stock-based compensation. The increase in the nine months ended October 31, 2025, as compared to the comparable prior year period relates primarily to increased stock-based compensation and employee compensation, plus certain expenses we consider to be non-recurring, including costs related to restructuring our Seamap operations in the United Kingdom, tax planning and analysis arising from the preferred stock conversion in fiscal 2025, and franchise tax expense impacted by the preferred stock conversion.</w:t>
      </w:r>
    </w:p>
    <w:p>
      <w:pPr>
        <w:spacing w:after="0" w:line="18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Research and development costs were approximately $506,000, and $1.2 million, respectively, for the three- and nine-month periods ended October 31, 2025, compared to approximately $562,000, and $1.4 million, respectively for the three- and nine-month periods ended October 31, 2024. Costs in each of the periods are related primarily to development of our next generation towed streamer system and other new products.</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which includes depreciation of equipment, furniture and fixtures and the amortization of intangible assets, decreased primarily attributable to assets becoming fully depreciated and amortized over the year. These costs were approximately $212,000 and $654,000, respectively in the three- and nine-month periods ended October 31, 2025, and approximately $221,000 and $724,000, for the three- and nine-month periods ended October 31, 2024,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Other expense recognized for the three and nine months ended October 31, 2025, related primarily to foreign exchange losses. Other income recognized for the three and nine months ended October 31, 2024 related primarily to gains on the sale of certain ancillary equipment and scrap sales.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October 31, 2025, our income tax expense was approximately $716,000 and $1.7 million, respectively, on pre-tax income of approximately $778,000 and $2.7 million, respectively. For the three and nine months ended October 31, 2024, our income tax expense was approximately $396,000 and $1.3 million, respectively, on pre-tax income of approximately $1.7 million and $4.4 million, respectively. These amounts differed from the result expected when applying the U.S. statutory rate of 21% to our income before income taxes for the respective periods due primarily to the impact of income taxes accrued in certain foreign jurisdictions, primarily Singapore, which do not have net operating losses available to offset taxable income, and because we do not benefit tax losses in the U.S. and certain foreign jurisdictions where we have valuation allowances recorded against our deferred tax assets. Valuation allowances have been provided against all deferred tax assets in the United States and certain foreign jurisdictions, including the United Kingdom.</w:t>
      </w:r>
    </w:p>
    <w:p>
      <w:pPr>
        <w:spacing w:after="0" w:line="19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October 31, 2025 includes approximately $178,000 of net discrete tax expense consisting primarily of $326,000 of tax expense resulting from return-to-provision and transfer pricing adjustments recorded by our Singapore entity, plus tax expense from other individually immaterial items, partially offset by $153,000 of tax benefit resulting from the release of valuation allowance against deferred tax assets of our Malaysia entity.</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Prior to fiscal 2024, the Company had a history of generating operating losses and negative cash from operating activities and relied on cash from the sale of lease pool equipment and the sale of preferred stock and common stock. However, the Company generated income from operations and positive Adjusted EBITDA for fiscal 2024 and fiscal 2025. The Company also generated net income from operations and cash provided by operating activities for the nine months ended October 31, 2025. We anticipate generating net income for fiscal 2026.</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2025, the Company had working capital of approximately $36.0 million, including cash and cash equivalents of approximately $19.4 million, compared to working capital of approximately $23.5 million, including cash and cash equivalents of approximately $5.3 million, as of January 31, 2025. The Company does not have a credit facility in place and has depended on cash on hand and cash flows from operations to satisfy its liquidity needs.</w:t>
      </w:r>
    </w:p>
    <w:p>
      <w:pPr>
        <w:spacing w:after="0" w:line="180"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it will have adequate liquidity to meet its future operating requirements through a combination of cash on hand, cash expected to be generated from operations, disciplined working capital management, the issuance of equity securities or some other form of financing. During the nine-month period ended October 31, 2025, the Company generated positive cash from operating activities in the amount of approximately $5.9 million.</w:t>
      </w:r>
    </w:p>
    <w:p>
      <w:pPr>
        <w:spacing w:after="0" w:line="180"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In September 2025 we initiated an at-the-market “ATM” offering program whereby we may issue common stock from time to time for gross proceeds of up to $25.0 million. We believe our ATM program allows us to raise capital quickly and efficiently should the need arise, such as for an acquisition or other business expansion. Additionally, this facility allows us to raise capital in the event the price of our common stock reflects a market value at which we believe adding capital, at or above that price, to be non-dilutive. To date, we have issued approximately 1.0 million shares of common stock pursuant to the ATM and generated net proceeds of approximately $10.8 million. Concurrently with establishing the ATM program, our Board of Directors authorized the buyback of up to $4.0 million of our common stock. This repurchase program will allow us to move quickly and efficiently should we believe market conditions indicate that the purchase of our own common stock is the best use of our capital. To date we have not repurchased any shares of common stock pursuant to our repurchase program. We believe both of these liquidity programs are consistent with our stated objective of furthering stockholder value by whatever means feasible.</w:t>
      </w:r>
    </w:p>
    <w:p>
      <w:pPr>
        <w:spacing w:after="0" w:line="188"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In order to fund future growth, we may explore sources of additional capital, which could include secured debt financing, the sale of assets or investment from strategic industry participants.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historical information regarding cash flows from our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8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5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color w:val="auto"/>
                <w:w w:val="99"/>
              </w:rPr>
              <w:t>(in thousands)</w:t>
            </w:r>
          </w:p>
        </w:tc>
        <w:tc>
          <w:tcPr>
            <w:tcW w:w="5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and cash equivalents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(1,784)</w:t>
            </w:r>
          </w:p>
        </w:tc>
      </w:tr>
    </w:tbl>
    <w:p>
      <w:pPr>
        <w:spacing w:after="0" w:line="19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2025, we had working capital of approximately $36.0 million, including cash and cash equivalents of approximately $19.4 million, as compared to working capital of approximately $23.5 million, including cash and cash equivalents of approximately $5.3 million, at January 31, 2025. The increase in working capital and cash and cash equivalents is due primarily to the proceeds of approximately $10.8 million from the issuance of common stock under our ATM program during the third quarter.</w:t>
      </w:r>
    </w:p>
    <w:p>
      <w:pPr>
        <w:spacing w:after="0" w:line="178" w:lineRule="exact"/>
        <w:rPr>
          <w:sz w:val="20"/>
          <w:szCs w:val="20"/>
          <w:color w:val="auto"/>
        </w:rPr>
      </w:pPr>
    </w:p>
    <w:p>
      <w:pPr>
        <w:ind w:right="3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Net cash provided by operating activities was approximately $3.8 million in the first nine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cash used in operating activities of approximately $1.4 million in the first nine months of fiscal 2025. The increase in net cash provided by operating activities was due mainly to collections on accounts receivable and reduction of inventory balances.</w:t>
      </w:r>
    </w:p>
    <w:p>
      <w:pPr>
        <w:spacing w:after="0" w:line="173"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Net cash used in investing activities during the first nine months of fiscal 2026 relates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of assets and investment related to the expansion of our facility in Huntsville, Texas as discussed above, compared to cash provided by investing activities in the prior year period, which related primarily to proceeds from the sale of other assets.</w:t>
      </w:r>
    </w:p>
    <w:p>
      <w:pPr>
        <w:spacing w:after="0" w:line="173"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For the nine months ended October 31, 2025, Net cash provided by financing activities was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 million and relates to sales of common stock pursuant to the ATM program. Net cash used in financing activities for the nine months ended October 31, 2024, was approximately $619,000 of transaction costs associated with the conversion of preferred stock to common stock.</w:t>
      </w:r>
    </w:p>
    <w:p>
      <w:pPr>
        <w:spacing w:after="0" w:line="175"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have determined that the undistributed earnings of foreign subsidiaries are not deemed indefinitely reinvested outside of the United States as of October 31, 2025. Furthermore, we have concluded that any deferred taxes with respect to the undistributed foreign earnings would be immaterial.</w:t>
      </w:r>
    </w:p>
    <w:p>
      <w:pPr>
        <w:spacing w:after="0" w:line="162"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18"/>
          <w:szCs w:val="18"/>
          <w:color w:val="auto"/>
        </w:rPr>
        <w:t>As of October 31, 2025, we had deposits in foreign banks equal to approximately $4.9 million, all of which we believe could be distributed to the United States without adverse tax consequences. However, in certain cases, the transfer of these funds may result in withholding taxes payable to foreign taxing authorities. If withholding taxes should become payable, we believe the amount of tax withheld would be immaterial.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Information regarding our critical accounting estimates is included in Part II, Item 7 “Management’s Discussion and Analysis of Financial Condition and Results of Operations” in our Annual Report on Form 10-K for the year ended January 31, 2025. There have been no material changes to our critical accounting estimates during the three- and nine-month periods ended October 31,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are exposed to market risk, which is the potential loss arising from adverse changes in market prices and rates. We have not entered, and do not intend to enter, into derivative financial instruments for hedging or speculative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operate in several foreign locations, which gives rise to risk from changes in foreign currency exchange rates. To the extent possible, we attempt to denominate our transactions in foreign locations in U.S. dollars. For those cases in which transactions are not denominated in U.S. dollars, we are exposed to risk from changes in exchange rates to the extent that non-U.S. dollar revenues exceed non-U.S. dollar expenses related to those transactions. Our non-U.S. dollar transactions are denominated primarily in British pounds, Singapore dollars and European Union euros. As a result of these transactions, we generally hold cash balances that are denominated in these foreign currencies. As of October 31, 2025, our consolidated cash and cash equivalents included foreign currency denominated amounts equivalent to approximately $566,000 in U.S. dollars. A 10% increase in the U.S. dollar as compared to each of these currencies would result in a loss of approximately $57,000 in the U.S. dollar value of these deposits, while a 10% decrease would result in an equal amount of gain. We do not currently hold or issue foreign exchange contracts or other derivative instruments to hedge these exposures.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31, 2025, we had no debt.</w:t>
      </w:r>
    </w:p>
    <w:p>
      <w:pPr>
        <w:sectPr>
          <w:pgSz w:w="11900" w:h="16838" w:orient="portrait"/>
          <w:cols w:equalWidth="0" w:num="1">
            <w:col w:w="11240"/>
          </w:cols>
          <w:pgMar w:left="320" w:top="121" w:right="339" w:bottom="71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17"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officers and principal financial officer, the effectiveness of the design and operation of our disclosure controls and procedures (as defined in Rules 13a-15(e) and 15d-15(e) under the Exchange Act) as of the end of the period covered by this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effective as of October 31, 2025 at the reasonable assurance level.</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(as defined in Rules 13a-15(f) and 15d-15(f) under the Exchange Act) during the quarter ended October 31, 2025, that has materially affected, or is reasonably likely to materially affect, our internal control over financial reporting.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7" w:lineRule="exact"/>
        <w:rPr>
          <w:sz w:val="20"/>
          <w:szCs w:val="20"/>
          <w:color w:val="auto"/>
        </w:rPr>
      </w:pPr>
    </w:p>
    <w:p>
      <w:pPr>
        <w:ind w:right="500" w:firstLine="45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legal proceedings arising in the ordinary course of business. We are not currently a party to any legal proceedings, individually or collectively, that we believe could have a material adverse effect on our results of operations or financial condition or is otherwise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elsewhere in this Form 10-Q, you should carefully consider the risks discussed in our Annual Report on Form 10-K for the year ended January 31, 2025, which risks could materially affect our business, financial condition or future results. There have been no material changes in our risk factors from those described in our Annual Report on Form 10-K for the year ended January 31, 2025. The risks described in our Annual Report on Form 10-K for the year ended January 31, 2025, are not the only risks the Company faces. Additional risks and uncertainties not currently known to us or that we currently deem to be immaterial may also materially adversely affect our business, financial condition, or future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exhibits marked with the cross symbol (†) are filed (or furnished in the case of Exhibit 32.1) with this Form 10-Q.</w:t>
      </w:r>
    </w:p>
    <w:p>
      <w:pPr>
        <w:sectPr>
          <w:pgSz w:w="11900" w:h="16838" w:orient="portrait"/>
          <w:cols w:equalWidth="0" w:num="1">
            <w:col w:w="11240"/>
          </w:cols>
          <w:pgMar w:left="320" w:top="121" w:right="339" w:bottom="1440" w:gutter="0" w:footer="0" w:header="0"/>
        </w:sectPr>
      </w:pP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572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3.1</w:t>
      </w:r>
    </w:p>
    <w:p>
      <w:pPr>
        <w:spacing w:after="0" w:line="3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3.5</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243" w:lineRule="exact"/>
        <w:rPr>
          <w:sz w:val="20"/>
          <w:szCs w:val="20"/>
          <w:color w:val="auto"/>
        </w:rPr>
      </w:pPr>
    </w:p>
    <w:p>
      <w:pPr>
        <w:ind w:right="420"/>
        <w:spacing w:after="0" w:line="261"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Amended and Restated Certificate of Incorporation of</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MIND Technology,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2785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90" w:lineRule="auto"/>
        <w:rPr>
          <w:rFonts w:ascii="Times New Roman" w:cs="Times New Roman" w:eastAsia="Times New Roman" w:hAnsi="Times New Roman"/>
          <w:sz w:val="17"/>
          <w:szCs w:val="17"/>
          <w:u w:val="single" w:color="auto"/>
          <w:color w:val="0000EE"/>
        </w:rPr>
      </w:pPr>
      <w:hyperlink r:id="rId42">
        <w:r>
          <w:rPr>
            <w:rFonts w:ascii="Times New Roman" w:cs="Times New Roman" w:eastAsia="Times New Roman" w:hAnsi="Times New Roman"/>
            <w:sz w:val="17"/>
            <w:szCs w:val="17"/>
            <w:u w:val="single" w:color="auto"/>
            <w:color w:val="0000EE"/>
          </w:rPr>
          <w:t>Certificate of Amendment of Certificate of Incorporation of</w:t>
        </w:r>
      </w:hyperlink>
      <w:r>
        <w:rPr>
          <w:rFonts w:ascii="Times New Roman" w:cs="Times New Roman" w:eastAsia="Times New Roman" w:hAnsi="Times New Roman"/>
          <w:sz w:val="17"/>
          <w:szCs w:val="17"/>
          <w:u w:val="single" w:color="auto"/>
          <w:color w:val="0000EE"/>
        </w:rPr>
        <w:t xml:space="preserve"> </w:t>
      </w:r>
      <w:hyperlink r:id="rId42">
        <w:r>
          <w:rPr>
            <w:rFonts w:ascii="Times New Roman" w:cs="Times New Roman" w:eastAsia="Times New Roman" w:hAnsi="Times New Roman"/>
            <w:sz w:val="17"/>
            <w:szCs w:val="17"/>
            <w:u w:val="single" w:color="auto"/>
            <w:color w:val="0000EE"/>
          </w:rPr>
          <w:t>MIND Technology, Inc., effective as of October 12, 2023.</w:t>
        </w:r>
      </w:hyperlink>
    </w:p>
    <w:p>
      <w:pPr>
        <w:spacing w:after="0" w:line="4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Amended and Restated Bylaws of MIND Technology, Inc.</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Texas Certificate of Merger, effective as of August 3, 2020</w:t>
        </w:r>
      </w:hyperlink>
    </w:p>
    <w:p>
      <w:pPr>
        <w:spacing w:after="0" w:line="117" w:lineRule="exact"/>
        <w:rPr>
          <w:sz w:val="20"/>
          <w:szCs w:val="20"/>
          <w:color w:val="auto"/>
        </w:rPr>
      </w:pPr>
    </w:p>
    <w:p>
      <w:pPr>
        <w:ind w:right="200"/>
        <w:spacing w:after="0" w:line="261" w:lineRule="auto"/>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Delaware Certificate of Merger, effective as of August 3,</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2020</w:t>
        </w:r>
      </w:hyperlink>
    </w:p>
    <w:p>
      <w:pPr>
        <w:ind w:right="140"/>
        <w:spacing w:after="0" w:line="250"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Certification of Robert P. Capps, Chief Executive Officer,</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pursuant to Rule 13a-14(a) and Rule 15d-14(a) of the</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Securities Exchange Act, as amended.</w:t>
        </w:r>
      </w:hyperlink>
    </w:p>
    <w:p>
      <w:pPr>
        <w:spacing w:after="0" w:line="1" w:lineRule="exact"/>
        <w:rPr>
          <w:rFonts w:ascii="Times New Roman" w:cs="Times New Roman" w:eastAsia="Times New Roman" w:hAnsi="Times New Roman"/>
          <w:sz w:val="18"/>
          <w:szCs w:val="18"/>
          <w:u w:val="single" w:color="auto"/>
          <w:color w:val="0000EE"/>
        </w:rPr>
      </w:pPr>
    </w:p>
    <w:p>
      <w:pPr>
        <w:ind w:right="1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Robert P. Capps, Chief Executive Officer, pursuant to Rule 13a-14(a) and Rule 15d-14(a) of the Securities Exchange Act, as amended</w:t>
      </w:r>
    </w:p>
    <w:p>
      <w:pPr>
        <w:spacing w:after="0" w:line="1" w:lineRule="exact"/>
        <w:rPr>
          <w:rFonts w:ascii="Times New Roman" w:cs="Times New Roman" w:eastAsia="Times New Roman" w:hAnsi="Times New Roman"/>
          <w:sz w:val="18"/>
          <w:szCs w:val="18"/>
          <w:u w:val="single" w:color="auto"/>
          <w:color w:val="0000EE"/>
        </w:rPr>
      </w:pPr>
    </w:p>
    <w:p>
      <w:pPr>
        <w:jc w:val="both"/>
        <w:ind w:right="40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Mark A. Cox, Chief Financial Officer, pursuant to Rule 13a-14(a) and Rule 15d-14(a) of the Securities Exchange Act, as amended</w:t>
      </w:r>
    </w:p>
    <w:p>
      <w:pPr>
        <w:spacing w:after="0" w:line="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Robert P. Capps, Chief Executive Officer,</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and Mark A. Cox, Chief Financial Officer, under</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Section 906 of the Sarbanes Oxley Act of 2002, 18 U.S.C.</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 1350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13" w:lineRule="exact"/>
        <w:rPr>
          <w:rFonts w:ascii="Times New Roman" w:cs="Times New Roman" w:eastAsia="Times New Roman" w:hAnsi="Times New Roman"/>
          <w:sz w:val="18"/>
          <w:szCs w:val="18"/>
          <w:u w:val="single" w:color="auto"/>
          <w:color w:val="0000EE"/>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43" w:lineRule="exact"/>
        <w:rPr>
          <w:rFonts w:ascii="Times New Roman" w:cs="Times New Roman" w:eastAsia="Times New Roman" w:hAnsi="Times New Roman"/>
          <w:sz w:val="18"/>
          <w:szCs w:val="18"/>
          <w:u w:val="single" w:color="auto"/>
          <w:color w:val="0000EE"/>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2777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October 13, 2023.</w:t>
      </w:r>
    </w:p>
    <w:p>
      <w:pPr>
        <w:spacing w:after="0" w:line="1" w:lineRule="exact"/>
        <w:rPr>
          <w:rFonts w:ascii="Times New Roman" w:cs="Times New Roman" w:eastAsia="Times New Roman" w:hAnsi="Times New Roman"/>
          <w:sz w:val="18"/>
          <w:szCs w:val="18"/>
          <w:u w:val="single" w:color="auto"/>
          <w:color w:val="0000EE"/>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rFonts w:ascii="Times New Roman" w:cs="Times New Roman" w:eastAsia="Times New Roman" w:hAnsi="Times New Roman"/>
          <w:sz w:val="18"/>
          <w:szCs w:val="18"/>
          <w:u w:val="single" w:color="auto"/>
          <w:color w:val="0000EE"/>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rFonts w:ascii="Times New Roman" w:cs="Times New Roman" w:eastAsia="Times New Roman" w:hAnsi="Times New Roman"/>
          <w:sz w:val="18"/>
          <w:szCs w:val="18"/>
          <w:u w:val="single" w:color="auto"/>
          <w:color w:val="0000EE"/>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73" w:lineRule="exact"/>
        <w:rPr>
          <w:rFonts w:ascii="Times New Roman" w:cs="Times New Roman" w:eastAsia="Times New Roman" w:hAnsi="Times New Roman"/>
          <w:sz w:val="18"/>
          <w:szCs w:val="18"/>
          <w:u w:val="single" w:color="auto"/>
          <w:color w:val="0000EE"/>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September 2, 2025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13" w:lineRule="exact"/>
        <w:rPr>
          <w:rFonts w:ascii="Times New Roman" w:cs="Times New Roman" w:eastAsia="Times New Roman" w:hAnsi="Times New Roman"/>
          <w:sz w:val="18"/>
          <w:szCs w:val="18"/>
          <w:u w:val="single" w:color="auto"/>
          <w:color w:val="0000EE"/>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Reference</w:t>
      </w:r>
    </w:p>
    <w:p>
      <w:pPr>
        <w:spacing w:after="0" w:line="64"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1.1</w:t>
      </w:r>
    </w:p>
    <w:p>
      <w:pPr>
        <w:spacing w:after="0" w:line="2594" w:lineRule="exact"/>
        <w:rPr>
          <w:rFonts w:ascii="Times New Roman" w:cs="Times New Roman" w:eastAsia="Times New Roman" w:hAnsi="Times New Roman"/>
          <w:sz w:val="18"/>
          <w:szCs w:val="18"/>
          <w:u w:val="single" w:color="auto"/>
          <w:color w:val="0000EE"/>
        </w:rPr>
      </w:pPr>
    </w:p>
    <w:p>
      <w:pPr>
        <w:sectPr>
          <w:pgSz w:w="11900" w:h="16838" w:orient="portrait"/>
          <w:cols w:equalWidth="0" w:num="4">
            <w:col w:w="1000" w:space="480"/>
            <w:col w:w="4300" w:space="200"/>
            <w:col w:w="4340" w:space="140"/>
            <w:col w:w="780"/>
          </w:cols>
          <w:pgMar w:left="320" w:top="121" w:right="339" w:bottom="1440" w:gutter="0" w:footer="0" w:header="0"/>
          <w:type w:val="continuous"/>
        </w:sectPr>
      </w:pPr>
    </w:p>
    <w:p>
      <w:pPr>
        <w:spacing w:after="0" w:line="7"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of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101.DEF†</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101.PRE†</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96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MIND TECHNOLOGY,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Capps</w:t>
            </w:r>
          </w:p>
        </w:tc>
      </w:tr>
      <w:tr>
        <w:trPr>
          <w:trHeight w:val="191"/>
        </w:trPr>
        <w:tc>
          <w:tcPr>
            <w:tcW w:w="5480" w:type="dxa"/>
            <w:vAlign w:val="bottom"/>
          </w:tcPr>
          <w:p>
            <w:pPr>
              <w:spacing w:after="0"/>
              <w:rPr>
                <w:sz w:val="16"/>
                <w:szCs w:val="16"/>
                <w:color w:val="auto"/>
              </w:rPr>
            </w:pPr>
          </w:p>
        </w:tc>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P. Capps</w:t>
            </w:r>
          </w:p>
        </w:tc>
      </w:tr>
      <w:tr>
        <w:trPr>
          <w:trHeight w:val="234"/>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4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32"/>
        </w:trPr>
        <w:tc>
          <w:tcPr>
            <w:tcW w:w="548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Capps,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October 31, 2025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83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9837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Cox,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October 31, 2025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MIND Technology, Inc. (the “Company”) on Form 10-Q for the quarterly period ended October 31, 2025, as filed with the Securities and Exchange Commission on the date hereof (the “Report”), Robert P. Capps, Chief Executive Officer of the Company, and Mark A. Cox, Chief Financial Officer of the Company, each hereby certify, pursuant to 18 U.S.C. Section 1350, as adopted pursuant to Section 906 of the Sarbanes-Oxley Act of 2002, that, to his knowledge:</w:t>
      </w:r>
    </w:p>
    <w:p>
      <w:pPr>
        <w:spacing w:after="0" w:line="180" w:lineRule="exact"/>
        <w:rPr>
          <w:sz w:val="20"/>
          <w:szCs w:val="20"/>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69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869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2"/>
    </w:lvl>
    <w:lvl w:ilvl="1">
      <w:lvlJc w:val="left"/>
      <w:lvlText w:val="(%2)"/>
      <w:numFmt w:val="lowerLetter"/>
      <w:start w:val="1"/>
    </w:lvl>
  </w:abstractNum>
  <w:abstractNum w:abstractNumId="11">
    <w:nsid w:val="140E0F76"/>
    <w:multiLevelType w:val="hybridMultilevel"/>
    <w:lvl w:ilvl="0">
      <w:lvlJc w:val="left"/>
      <w:lvlText w:val="%1."/>
      <w:numFmt w:val="decimal"/>
      <w:start w:val="2"/>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40" Type="http://schemas.openxmlformats.org/officeDocument/2006/relationships/hyperlink" Target="http://www.sec.gov/Archives/edgar/data/926423/000162828020012171/exhibit33-mindtechnolo.htm" TargetMode="External"/><Relationship Id="rId42" Type="http://schemas.openxmlformats.org/officeDocument/2006/relationships/hyperlink" Target="http://www.sec.gov/Archives/edgar/data/926423/000143774923028177/ex_578755.htm" TargetMode="External"/><Relationship Id="rId43" Type="http://schemas.openxmlformats.org/officeDocument/2006/relationships/hyperlink" Target="http://www.sec.gov/Archives/edgar/data/926423/000162828020012171/exhibit34-mindtechnolo.htm" TargetMode="External"/><Relationship Id="rId44" Type="http://schemas.openxmlformats.org/officeDocument/2006/relationships/hyperlink" Target="http://www.sec.gov/Archives/edgar/data/926423/000162828020012171/exhibit31-mindtechnolo.htm" TargetMode="External"/><Relationship Id="rId45" Type="http://schemas.openxmlformats.org/officeDocument/2006/relationships/hyperlink" Target="http://www.sec.gov/Archives/edgar/data/926423/000162828020012171/exhibit32-mindtechnolo.htm" TargetMode="External"/><Relationship Id="rId46" Type="http://schemas.openxmlformats.org/officeDocument/2006/relationships/hyperlink" Target="http://www.sec.gov/Archives/edgar/data/926423/000143774925028149/ex_8582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2025-12-11T15:20:56Z</dcterms:created>
  <dcterms:modified xsi:type="dcterms:W3CDTF">2025-12-11T15:20:56Z</dcterms:modified>
</cp:coreProperties>
</file>