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207645</wp:posOffset>
            </wp:positionH>
            <wp:positionV relativeFrom="page">
              <wp:posOffset>429895</wp:posOffset>
            </wp:positionV>
            <wp:extent cx="7132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2540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color w:val="auto"/>
        </w:rPr>
        <w:t>FORM 8-K</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CURRENT REPORT</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Pursuant to Section 13 or 15(d) of the Securities Exchange Act of 1934</w:t>
      </w:r>
    </w:p>
    <w:p>
      <w:pPr>
        <w:spacing w:after="0" w:line="224" w:lineRule="exact"/>
        <w:rPr>
          <w:sz w:val="24"/>
          <w:szCs w:val="24"/>
          <w:color w:val="auto"/>
        </w:rPr>
      </w:pPr>
    </w:p>
    <w:p>
      <w:pPr>
        <w:ind w:left="1040"/>
        <w:spacing w:after="0"/>
        <w:tabs>
          <w:tab w:leader="none" w:pos="776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7"/>
          <w:szCs w:val="17"/>
          <w:color w:val="auto"/>
        </w:rPr>
        <w:t>December 9,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color w:val="auto"/>
        </w:rPr>
        <w:t>MI</w:t>
      </w:r>
      <w:r>
        <w:rPr>
          <w:rFonts w:ascii="Times New Roman" w:cs="Times New Roman" w:eastAsia="Times New Roman" w:hAnsi="Times New Roman"/>
          <w:sz w:val="43"/>
          <w:szCs w:val="43"/>
          <w:u w:val="single" w:color="auto"/>
          <w:color w:val="auto"/>
        </w:rPr>
        <w:t>ND Technology,</w:t>
      </w:r>
      <w:r>
        <w:rPr>
          <w:rFonts w:ascii="Times New Roman" w:cs="Times New Roman" w:eastAsia="Times New Roman" w:hAnsi="Times New Roman"/>
          <w:sz w:val="43"/>
          <w:szCs w:val="43"/>
          <w:color w:val="auto"/>
        </w:rPr>
        <w:t xml:space="preserve">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94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color w:val="auto"/>
                <w:w w:val="99"/>
              </w:rPr>
              <w:t>001-13490</w:t>
            </w:r>
          </w:p>
        </w:tc>
        <w:tc>
          <w:tcPr>
            <w:tcW w:w="4800" w:type="dxa"/>
            <w:vAlign w:val="bottom"/>
            <w:gridSpan w:val="3"/>
          </w:tcPr>
          <w:p>
            <w:pPr>
              <w:jc w:val="right"/>
              <w:ind w:right="1210"/>
              <w:spacing w:after="0"/>
              <w:rPr>
                <w:sz w:val="20"/>
                <w:szCs w:val="20"/>
                <w:color w:val="auto"/>
              </w:rPr>
            </w:pPr>
            <w:r>
              <w:rPr>
                <w:rFonts w:ascii="Times New Roman" w:cs="Times New Roman" w:eastAsia="Times New Roman" w:hAnsi="Times New Roman"/>
                <w:sz w:val="18"/>
                <w:szCs w:val="18"/>
                <w:color w:val="auto"/>
              </w:rPr>
              <w:t>76-0210849</w:t>
            </w:r>
          </w:p>
        </w:tc>
      </w:tr>
      <w:tr>
        <w:trPr>
          <w:trHeight w:val="190"/>
        </w:trPr>
        <w:tc>
          <w:tcPr>
            <w:tcW w:w="3500" w:type="dxa"/>
            <w:vAlign w:val="bottom"/>
            <w:tcBorders>
              <w:top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340" w:type="dxa"/>
            <w:vAlign w:val="bottom"/>
          </w:tcPr>
          <w:p>
            <w:pPr>
              <w:spacing w:after="0"/>
              <w:rPr>
                <w:sz w:val="16"/>
                <w:szCs w:val="16"/>
                <w:color w:val="auto"/>
              </w:rPr>
            </w:pPr>
          </w:p>
        </w:tc>
        <w:tc>
          <w:tcPr>
            <w:tcW w:w="2600" w:type="dxa"/>
            <w:vAlign w:val="bottom"/>
            <w:tcBorders>
              <w:top w:val="single" w:sz="8" w:color="auto"/>
            </w:tcBorders>
          </w:tcPr>
          <w:p>
            <w:pPr>
              <w:jc w:val="center"/>
              <w:ind w:left="890"/>
              <w:spacing w:after="0" w:line="190" w:lineRule="exact"/>
              <w:rPr>
                <w:sz w:val="20"/>
                <w:szCs w:val="20"/>
                <w:color w:val="auto"/>
              </w:rPr>
            </w:pPr>
            <w:r>
              <w:rPr>
                <w:rFonts w:ascii="Times New Roman" w:cs="Times New Roman" w:eastAsia="Times New Roman" w:hAnsi="Times New Roman"/>
                <w:sz w:val="18"/>
                <w:szCs w:val="18"/>
                <w:color w:val="auto"/>
              </w:rPr>
              <w:t>(Commission</w:t>
            </w:r>
          </w:p>
        </w:tc>
        <w:tc>
          <w:tcPr>
            <w:tcW w:w="9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480" w:type="dxa"/>
            <w:vAlign w:val="bottom"/>
            <w:tcBorders>
              <w:top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40" w:type="dxa"/>
            <w:vAlign w:val="bottom"/>
          </w:tcPr>
          <w:p>
            <w:pPr>
              <w:spacing w:after="0"/>
              <w:rPr>
                <w:sz w:val="20"/>
                <w:szCs w:val="20"/>
                <w:color w:val="auto"/>
              </w:rPr>
            </w:pPr>
          </w:p>
        </w:tc>
        <w:tc>
          <w:tcPr>
            <w:tcW w:w="260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File Number)</w:t>
            </w: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11"/>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2002 Timberloch Place, Suite 400,</w:t>
            </w:r>
          </w:p>
        </w:tc>
        <w:tc>
          <w:tcPr>
            <w:tcW w:w="3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33"/>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The Woodlands, Texas</w:t>
            </w:r>
          </w:p>
        </w:tc>
        <w:tc>
          <w:tcPr>
            <w:tcW w:w="3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800" w:type="dxa"/>
            <w:vAlign w:val="bottom"/>
            <w:gridSpan w:val="3"/>
          </w:tcPr>
          <w:p>
            <w:pPr>
              <w:jc w:val="right"/>
              <w:ind w:right="1430"/>
              <w:spacing w:after="0"/>
              <w:rPr>
                <w:sz w:val="20"/>
                <w:szCs w:val="20"/>
                <w:color w:val="auto"/>
              </w:rPr>
            </w:pPr>
            <w:r>
              <w:rPr>
                <w:rFonts w:ascii="Times New Roman" w:cs="Times New Roman" w:eastAsia="Times New Roman" w:hAnsi="Times New Roman"/>
                <w:sz w:val="18"/>
                <w:szCs w:val="18"/>
                <w:color w:val="auto"/>
              </w:rPr>
              <w:t>77380</w:t>
            </w:r>
          </w:p>
        </w:tc>
      </w:tr>
      <w:tr>
        <w:trPr>
          <w:trHeight w:val="227"/>
        </w:trPr>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627"/>
        </w:trPr>
        <w:tc>
          <w:tcPr>
            <w:tcW w:w="644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4800" w:type="dxa"/>
            <w:vAlign w:val="bottom"/>
            <w:gridSpan w:val="3"/>
          </w:tcPr>
          <w:p>
            <w:pPr>
              <w:jc w:val="right"/>
              <w:ind w:right="3270"/>
              <w:spacing w:after="0"/>
              <w:rPr>
                <w:sz w:val="20"/>
                <w:szCs w:val="20"/>
                <w:color w:val="auto"/>
              </w:rPr>
            </w:pPr>
            <w:r>
              <w:rPr>
                <w:rFonts w:ascii="Times New Roman" w:cs="Times New Roman" w:eastAsia="Times New Roman" w:hAnsi="Times New Roman"/>
                <w:sz w:val="18"/>
                <w:szCs w:val="18"/>
                <w:color w:val="auto"/>
              </w:rPr>
              <w:t>(281) 353-4475</w:t>
            </w:r>
          </w:p>
        </w:tc>
      </w:tr>
    </w:tbl>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3" w:lineRule="exact"/>
        <w:rPr>
          <w:sz w:val="24"/>
          <w:szCs w:val="24"/>
          <w:color w:val="auto"/>
        </w:rPr>
      </w:pPr>
    </w:p>
    <w:p>
      <w:pPr>
        <w:ind w:right="740"/>
        <w:spacing w:after="0" w:line="28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8" w:lineRule="exact"/>
        <w:rPr>
          <w:rFonts w:ascii="MS PGothic" w:cs="MS PGothic" w:eastAsia="MS PGothic" w:hAnsi="MS PGothic"/>
          <w:sz w:val="18"/>
          <w:szCs w:val="18"/>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 w:lineRule="exact"/>
        <w:rPr>
          <w:rFonts w:ascii="MS PGothic" w:cs="MS PGothic" w:eastAsia="MS PGothic" w:hAnsi="MS PGothic"/>
          <w:sz w:val="18"/>
          <w:szCs w:val="18"/>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 w:lineRule="exact"/>
        <w:rPr>
          <w:rFonts w:ascii="MS PGothic" w:cs="MS PGothic" w:eastAsia="MS PGothic" w:hAnsi="MS PGothic"/>
          <w:sz w:val="18"/>
          <w:szCs w:val="18"/>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30"/>
        </w:trPr>
        <w:tc>
          <w:tcPr>
            <w:tcW w:w="454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Trading Symbol (s)</w:t>
            </w:r>
          </w:p>
        </w:tc>
        <w:tc>
          <w:tcPr>
            <w:tcW w:w="44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8"/>
        </w:trPr>
        <w:tc>
          <w:tcPr>
            <w:tcW w:w="454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MIND</w:t>
            </w:r>
          </w:p>
        </w:tc>
        <w:tc>
          <w:tcPr>
            <w:tcW w:w="44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7" w:lineRule="exact"/>
        <w:rPr>
          <w:sz w:val="24"/>
          <w:szCs w:val="24"/>
          <w:color w:val="auto"/>
        </w:rPr>
      </w:pPr>
    </w:p>
    <w:p>
      <w:pPr>
        <w:ind w:right="560"/>
        <w:spacing w:after="0" w:line="28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4"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713295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502920</wp:posOffset>
            </wp:positionV>
            <wp:extent cx="7132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69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 and Financial Condition.</w:t>
      </w:r>
    </w:p>
    <w:p>
      <w:pPr>
        <w:spacing w:after="0" w:line="22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8"/>
          <w:szCs w:val="18"/>
          <w:color w:val="auto"/>
        </w:rPr>
        <w:t>On December 9, 2025, MIND Technology, Inc. (the “Company”) issued a press release announcing its financial results for the fiscal quarter ended October 31, 2025. The date and time for a conference call discussing the earnings are also included in the press release. A copy of the press release is furnished as Exhibit 99.1 to this Current Report on Form 8-K and incorporated by reference into this Item 2.02.</w:t>
      </w:r>
    </w:p>
    <w:p>
      <w:pPr>
        <w:spacing w:after="0" w:line="17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Company’s press release contains non-GAAP financial measures. Generally, a non-GAAP financial measure is a numerical measure of a company’s performance, financial position, or cash flows that either excludes or includes amounts that are not normally excluded or included in the most directly comparable measure calculated and presented in accordance with United States generally accepted accounting principles, or GAAP. Pursuant to the requirements of Regulation G, the Company has provided within the press release quantitative reconciliations of certain non-GAAP financial measures to the most directly comparable GAAP financial measures.</w:t>
      </w:r>
    </w:p>
    <w:p>
      <w:pPr>
        <w:spacing w:after="0" w:line="186"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The information in this Item 2.02 (including the press release attached as Exhibit 99.1 and incorporated by reference into Item 2.02) is being furnished, not filed, for purposes of Section 18 of the Securities Exchange Act of 1934, as amended (the “Exchange Act”), is not subject to the liabilities of that section, and will not be incorporated by reference into any filing under the Exchange Act or the Securities Act of 1933, as amended (the “Securities Act”), unless specifically identified therein as being incorporated therein by reference.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On December 9, 2025, the Company issued a press release announcing its financial results for the fiscal quarter ended October 31, 2025. A copy of the press release is furnished as Exhibit 99.1 to this report and incorporated by reference into Item 7.01. The information set forth under Item 2.02 above regarding the press release is incorporated herein by reference.</w:t>
      </w:r>
    </w:p>
    <w:p>
      <w:pPr>
        <w:spacing w:after="0" w:line="177"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8"/>
          <w:szCs w:val="18"/>
          <w:color w:val="auto"/>
        </w:rPr>
        <w:t>The information in this Item 7.01 (including the press release attached as Exhibit 99.1 and incorporated by reference into Item 7.01) is being furnished, not filed, for purposes of Section 18 of the Exchange Act, is not subject to the liabilities of that section, and will not be incorporated by reference into any filing under the Exchange Act or the Securities Act unless specifically identified therein as being incorporated therein by reference.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Note Regarding Forward-Looking Statements</w:t>
      </w:r>
    </w:p>
    <w:p>
      <w:pPr>
        <w:spacing w:after="0" w:line="225"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Certain of the statements contained in this report should be considered forward-looking statements.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Company’s plans, objectives, expectations, intentions, estimates and strategies for the future,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set forth in the Company’s Annual Report on Form 10-K (especially in Part II, Item 7. Management’s Discussion and Analysis of Financial Condition and Results of Operations) and Quarterly Reports on Form 10-Q, filed with the Securities and Exchange Commission (the “SEC”), and other risks and uncertainties listed from time to time in the Company’s other filings with the SEC.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Exhibit Number</w:t>
            </w:r>
          </w:p>
        </w:tc>
        <w:tc>
          <w:tcPr>
            <w:tcW w:w="740" w:type="dxa"/>
            <w:vAlign w:val="bottom"/>
          </w:tcPr>
          <w:p>
            <w:pPr>
              <w:spacing w:after="0"/>
              <w:rPr>
                <w:sz w:val="18"/>
                <w:szCs w:val="18"/>
                <w:color w:val="auto"/>
              </w:rPr>
            </w:pPr>
          </w:p>
        </w:tc>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95"/>
        </w:trPr>
        <w:tc>
          <w:tcPr>
            <w:tcW w:w="20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(d) Exhibits.</w:t>
            </w:r>
          </w:p>
        </w:tc>
        <w:tc>
          <w:tcPr>
            <w:tcW w:w="12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16"/>
                <w:szCs w:val="16"/>
                <w:color w:val="auto"/>
              </w:rPr>
            </w:pPr>
          </w:p>
        </w:tc>
        <w:tc>
          <w:tcPr>
            <w:tcW w:w="724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0000EE"/>
              </w:rPr>
              <w:t>MIND Technology, Inc. press release dated December 9, 2025.</w:t>
            </w:r>
          </w:p>
        </w:tc>
      </w:tr>
      <w:tr>
        <w:trPr>
          <w:trHeight w:val="20"/>
        </w:trPr>
        <w:tc>
          <w:tcPr>
            <w:tcW w:w="2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00" w:type="dxa"/>
            <w:vAlign w:val="bottom"/>
            <w:gridSpan w:val="2"/>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36"/>
        </w:trPr>
        <w:tc>
          <w:tcPr>
            <w:tcW w:w="20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tcPr>
          <w:p>
            <w:pPr>
              <w:spacing w:after="0"/>
              <w:rPr>
                <w:sz w:val="20"/>
                <w:szCs w:val="20"/>
                <w:color w:val="auto"/>
              </w:rPr>
            </w:pPr>
          </w:p>
        </w:tc>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71"/>
        </w:trPr>
        <w:tc>
          <w:tcPr>
            <w:tcW w:w="20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4" w:right="33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MIND Technology, Inc.</w:t>
      </w:r>
    </w:p>
    <w:p>
      <w:pPr>
        <w:spacing w:after="0" w:line="221" w:lineRule="exact"/>
        <w:rPr>
          <w:sz w:val="20"/>
          <w:szCs w:val="20"/>
          <w:color w:val="auto"/>
        </w:rPr>
      </w:pPr>
    </w:p>
    <w:p>
      <w:pPr>
        <w:ind w:left="940"/>
        <w:spacing w:after="0"/>
        <w:tabs>
          <w:tab w:leader="none" w:pos="6060" w:val="left"/>
          <w:tab w:leader="none" w:pos="6500" w:val="left"/>
        </w:tabs>
        <w:rPr>
          <w:sz w:val="20"/>
          <w:szCs w:val="20"/>
          <w:color w:val="auto"/>
        </w:rPr>
      </w:pPr>
      <w:r>
        <w:rPr>
          <w:rFonts w:ascii="Times New Roman" w:cs="Times New Roman" w:eastAsia="Times New Roman" w:hAnsi="Times New Roman"/>
          <w:sz w:val="18"/>
          <w:szCs w:val="18"/>
          <w:i w:val="1"/>
          <w:iCs w:val="1"/>
          <w:color w:val="auto"/>
        </w:rPr>
        <w:t>December 9, 2025</w:t>
      </w:r>
      <w:r>
        <w:rPr>
          <w:sz w:val="20"/>
          <w:szCs w:val="20"/>
          <w:color w:val="auto"/>
        </w:rPr>
        <w:tab/>
      </w: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7"/>
          <w:szCs w:val="17"/>
          <w:i w:val="1"/>
          <w:iCs w:val="1"/>
          <w:color w:val="auto"/>
        </w:rPr>
        <w:t>/s/ Robert P. Capps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4142740</wp:posOffset>
            </wp:positionH>
            <wp:positionV relativeFrom="paragraph">
              <wp:posOffset>17780</wp:posOffset>
            </wp:positionV>
            <wp:extent cx="29946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94660" cy="8255"/>
                    </a:xfrm>
                    <a:prstGeom prst="rect">
                      <a:avLst/>
                    </a:prstGeom>
                    <a:noFill/>
                  </pic:spPr>
                </pic:pic>
              </a:graphicData>
            </a:graphic>
          </wp:anchor>
        </w:drawing>
      </w:r>
    </w:p>
    <w:p>
      <w:pPr>
        <w:spacing w:after="0" w:line="2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Name: Robert P. Capps</w:t>
      </w:r>
    </w:p>
    <w:p>
      <w:pPr>
        <w:spacing w:after="0" w:line="2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Title: President and Chief Executive Officer</w:t>
      </w:r>
    </w:p>
    <w:p>
      <w:pPr>
        <w:sectPr>
          <w:pgSz w:w="11900" w:h="16838" w:orient="portrait"/>
          <w:cols w:equalWidth="0" w:num="1">
            <w:col w:w="11160"/>
          </w:cols>
          <w:pgMar w:left="320" w:top="574" w:right="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32"/>
          <w:szCs w:val="32"/>
          <w:b w:val="1"/>
          <w:bCs w:val="1"/>
          <w:i w:val="1"/>
          <w:i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-201930</wp:posOffset>
            </wp:positionV>
            <wp:extent cx="2047875" cy="767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47875" cy="76771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Contacts: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Rob Capps, President &amp; CEO</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MIND Technology,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281-353-4475</w:t>
      </w:r>
    </w:p>
    <w:p>
      <w:pPr>
        <w:spacing w:after="0" w:line="200" w:lineRule="exact"/>
        <w:rPr>
          <w:sz w:val="20"/>
          <w:szCs w:val="20"/>
          <w:color w:val="auto"/>
        </w:rPr>
      </w:pPr>
    </w:p>
    <w:p>
      <w:pPr>
        <w:sectPr>
          <w:pgSz w:w="11900" w:h="16838" w:orient="portrait"/>
          <w:cols w:equalWidth="0" w:num="2">
            <w:col w:w="7260" w:space="720"/>
            <w:col w:w="3260"/>
          </w:cols>
          <w:pgMar w:left="320" w:top="117" w:right="339" w:bottom="1440" w:gutter="0" w:footer="0" w:header="0"/>
          <w:type w:val="continuous"/>
        </w:sectPr>
      </w:pPr>
    </w:p>
    <w:p>
      <w:pPr>
        <w:spacing w:after="0" w:line="4"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Ken Dennard / Zach Vaughan</w:t>
      </w:r>
    </w:p>
    <w:p>
      <w:pPr>
        <w:spacing w:after="0" w:line="2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7"/>
          <w:szCs w:val="17"/>
          <w:color w:val="auto"/>
        </w:rPr>
        <w:t>Dennard Lascar Investor Relations</w:t>
      </w:r>
    </w:p>
    <w:p>
      <w:pPr>
        <w:spacing w:after="0" w:line="20"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713-529-6600</w:t>
      </w:r>
    </w:p>
    <w:p>
      <w:pPr>
        <w:spacing w:after="0" w:line="8"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MIND@dennardlascar.com</w:t>
      </w:r>
    </w:p>
    <w:p>
      <w:pPr>
        <w:sectPr>
          <w:pgSz w:w="11900" w:h="16838" w:orient="portrait"/>
          <w:cols w:equalWidth="0" w:num="1">
            <w:col w:w="11240"/>
          </w:cols>
          <w:pgMar w:left="320" w:top="117" w:right="339" w:bottom="1440" w:gutter="0" w:footer="0" w:header="0"/>
          <w:type w:val="continuous"/>
        </w:sectPr>
      </w:pP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MIND TECHNOLOGY, INC. REPORTS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FISCAL 2026 THIRD QUARTER RESULTS</w:t>
      </w:r>
    </w:p>
    <w:p>
      <w:pPr>
        <w:spacing w:after="0" w:line="200" w:lineRule="exact"/>
        <w:rPr>
          <w:sz w:val="20"/>
          <w:szCs w:val="20"/>
          <w:color w:val="auto"/>
        </w:rPr>
      </w:pPr>
    </w:p>
    <w:p>
      <w:pPr>
        <w:spacing w:after="0" w:line="238" w:lineRule="exact"/>
        <w:rPr>
          <w:sz w:val="20"/>
          <w:szCs w:val="20"/>
          <w:color w:val="auto"/>
        </w:rPr>
      </w:pPr>
    </w:p>
    <w:p>
      <w:pPr>
        <w:ind w:right="300" w:firstLine="645"/>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THE WOODLANDS, TX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December 9, 2025 </w:t>
      </w:r>
      <w:r>
        <w:rPr>
          <w:rFonts w:ascii="Times New Roman" w:cs="Times New Roman" w:eastAsia="Times New Roman" w:hAnsi="Times New Roman"/>
          <w:sz w:val="18"/>
          <w:szCs w:val="18"/>
          <w:color w:val="auto"/>
        </w:rPr>
        <w:t>– MIND Technology, Inc. (NASDAQ: MIND) (“MIND” or the “Company”) today announced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results for its fiscal 2026 third quarter ended October 31, 2025.</w:t>
      </w:r>
    </w:p>
    <w:p>
      <w:pPr>
        <w:spacing w:after="0" w:line="159" w:lineRule="exact"/>
        <w:rPr>
          <w:sz w:val="20"/>
          <w:szCs w:val="20"/>
          <w:color w:val="auto"/>
        </w:rPr>
      </w:pPr>
    </w:p>
    <w:p>
      <w:pPr>
        <w:ind w:right="120" w:firstLine="645"/>
        <w:spacing w:after="0" w:line="280" w:lineRule="auto"/>
        <w:rPr>
          <w:sz w:val="20"/>
          <w:szCs w:val="20"/>
          <w:color w:val="auto"/>
        </w:rPr>
      </w:pPr>
      <w:r>
        <w:rPr>
          <w:rFonts w:ascii="Times New Roman" w:cs="Times New Roman" w:eastAsia="Times New Roman" w:hAnsi="Times New Roman"/>
          <w:sz w:val="18"/>
          <w:szCs w:val="18"/>
          <w:color w:val="auto"/>
        </w:rPr>
        <w:t>Revenues for the third quarter of fiscal 2026 were approximately $9.7 million compared to $13.6 million for the second quarter of fiscal 2026 and $12.1 million for the third quarter of fiscal 2025.</w:t>
      </w:r>
    </w:p>
    <w:p>
      <w:pPr>
        <w:spacing w:after="0" w:line="162" w:lineRule="exact"/>
        <w:rPr>
          <w:sz w:val="20"/>
          <w:szCs w:val="20"/>
          <w:color w:val="auto"/>
        </w:rPr>
      </w:pPr>
    </w:p>
    <w:p>
      <w:pPr>
        <w:ind w:right="160" w:firstLine="645"/>
        <w:spacing w:after="0" w:line="270" w:lineRule="auto"/>
        <w:rPr>
          <w:sz w:val="20"/>
          <w:szCs w:val="20"/>
          <w:color w:val="auto"/>
        </w:rPr>
      </w:pPr>
      <w:r>
        <w:rPr>
          <w:rFonts w:ascii="Times New Roman" w:cs="Times New Roman" w:eastAsia="Times New Roman" w:hAnsi="Times New Roman"/>
          <w:sz w:val="17"/>
          <w:szCs w:val="17"/>
          <w:color w:val="auto"/>
        </w:rPr>
        <w:t>The Company reported an operating income of $774,000 for the third quarter of fiscal 2026 compared to operating income of $2.7 million for the second quarter of fiscal 2026 and operating income of $1.9 million for the third quarter of fiscal 2025. Net income for the third quarter of fiscal 2026 amounted to $62,000 compared to net income of $1.9 million for the second quarter of fiscal 2026 and net income of approximately $1.3 million for the third quarter of fiscal 2025. Net income attributable to common stockholders was $62,000, or $0.01 per share for the third quarter of fiscal 2026 compared to net income attributable to common stockholders of $1.9 million, or $0.24 per share for the second quarter of fiscal 2026 and net income attributable to common stockholders of $15.7 million or $2.87 per share for the third quarter of fiscal 2025 (after the effect of the conversion of preferred stock into common stock). In computing net income per common share, approximately 8,046,000 shares were outstanding for the third quarter of fiscal 2026 and 7,969,000 shares were outstanding for the second quarter of fiscal 2026 compared to approximately 5,473,000 shares during the 2025 fiscal third quarter.</w:t>
      </w:r>
    </w:p>
    <w:p>
      <w:pPr>
        <w:spacing w:after="0" w:line="176" w:lineRule="exact"/>
        <w:rPr>
          <w:sz w:val="20"/>
          <w:szCs w:val="20"/>
          <w:color w:val="auto"/>
        </w:rPr>
      </w:pPr>
    </w:p>
    <w:p>
      <w:pPr>
        <w:ind w:right="340" w:firstLine="645"/>
        <w:spacing w:after="0" w:line="280" w:lineRule="auto"/>
        <w:rPr>
          <w:sz w:val="20"/>
          <w:szCs w:val="20"/>
          <w:color w:val="auto"/>
        </w:rPr>
      </w:pPr>
      <w:r>
        <w:rPr>
          <w:rFonts w:ascii="Times New Roman" w:cs="Times New Roman" w:eastAsia="Times New Roman" w:hAnsi="Times New Roman"/>
          <w:sz w:val="18"/>
          <w:szCs w:val="18"/>
          <w:color w:val="auto"/>
        </w:rPr>
        <w:t>Adjusted EBITDA for the third quarter of fiscal 2026 was approximately $1.3 million compared to $3.1 million for the second quarter of fiscal 2026 and $2.0 million for the third quarter of fiscal 2025.</w:t>
      </w:r>
    </w:p>
    <w:p>
      <w:pPr>
        <w:spacing w:after="0" w:line="162" w:lineRule="exact"/>
        <w:rPr>
          <w:sz w:val="20"/>
          <w:szCs w:val="20"/>
          <w:color w:val="auto"/>
        </w:rPr>
      </w:pPr>
    </w:p>
    <w:p>
      <w:pPr>
        <w:ind w:right="200" w:firstLine="645"/>
        <w:spacing w:after="0" w:line="264" w:lineRule="auto"/>
        <w:rPr>
          <w:sz w:val="20"/>
          <w:szCs w:val="20"/>
          <w:color w:val="auto"/>
        </w:rPr>
      </w:pPr>
      <w:r>
        <w:rPr>
          <w:rFonts w:ascii="Times New Roman" w:cs="Times New Roman" w:eastAsia="Times New Roman" w:hAnsi="Times New Roman"/>
          <w:sz w:val="18"/>
          <w:szCs w:val="18"/>
          <w:color w:val="auto"/>
        </w:rPr>
        <w:t>The backlog of Marine Technology Products related to our Seamap segment was approximately $7.2 million as of October 31, 2025 compared to $12.8 million at July 31, 2025 and $26.2 million at October 31, 2024. However, subsequent to October 31, 2025 the Company received additional orders totaling approximately $9.5 million.</w:t>
      </w:r>
    </w:p>
    <w:p>
      <w:pPr>
        <w:spacing w:after="0" w:line="177" w:lineRule="exact"/>
        <w:rPr>
          <w:sz w:val="20"/>
          <w:szCs w:val="20"/>
          <w:color w:val="auto"/>
        </w:rPr>
      </w:pPr>
    </w:p>
    <w:p>
      <w:pPr>
        <w:ind w:right="100" w:firstLine="645"/>
        <w:spacing w:after="0" w:line="256" w:lineRule="auto"/>
        <w:rPr>
          <w:sz w:val="20"/>
          <w:szCs w:val="20"/>
          <w:color w:val="auto"/>
        </w:rPr>
      </w:pPr>
      <w:r>
        <w:rPr>
          <w:rFonts w:ascii="Times New Roman" w:cs="Times New Roman" w:eastAsia="Times New Roman" w:hAnsi="Times New Roman"/>
          <w:sz w:val="18"/>
          <w:szCs w:val="18"/>
          <w:color w:val="auto"/>
        </w:rPr>
        <w:t>Rob Capps, MIND’s President and Chief Executive Officer, stated, “Our results for the third quarter were largely in line with our expectations. Although Seamap revenues moderated slightly from the second quarter, higher margin after-market activity was strong again this quarter and accounted for about 64% of our revenues in the first nine months of this fiscal year. This favorable after-market activity, along with our consistent execution, helped deliver another profitable quarter. Based on the anticipated delivery schedule of our backlog, recent and expected orders, we expect our fourth quarter to be improved from the third quarter.</w:t>
      </w:r>
    </w:p>
    <w:p>
      <w:pPr>
        <w:spacing w:after="0" w:line="186" w:lineRule="exact"/>
        <w:rPr>
          <w:sz w:val="20"/>
          <w:szCs w:val="20"/>
          <w:color w:val="auto"/>
        </w:rPr>
      </w:pPr>
    </w:p>
    <w:p>
      <w:pPr>
        <w:ind w:right="160" w:firstLine="645"/>
        <w:spacing w:after="0" w:line="259" w:lineRule="auto"/>
        <w:rPr>
          <w:sz w:val="20"/>
          <w:szCs w:val="20"/>
          <w:color w:val="auto"/>
        </w:rPr>
      </w:pPr>
      <w:r>
        <w:rPr>
          <w:rFonts w:ascii="Times New Roman" w:cs="Times New Roman" w:eastAsia="Times New Roman" w:hAnsi="Times New Roman"/>
          <w:sz w:val="18"/>
          <w:szCs w:val="18"/>
          <w:color w:val="auto"/>
        </w:rPr>
        <w:t>“We continued to improve our liquidity and financial position during the third quarter. We generated positive adjusted EBITDA and positive cash flow from operating activities while raising approximately $11.0 million of cash through our ATM program during the quarter. We ended the quarter with almost $36.0 million in working capital, $19.4 million of which is cash. This working capital position equates to $4.00 per share of common stock and provides us tremendous flexibility to pursue growth opportunities.</w:t>
      </w:r>
    </w:p>
    <w:p>
      <w:pPr>
        <w:spacing w:after="0" w:line="181" w:lineRule="exact"/>
        <w:rPr>
          <w:sz w:val="20"/>
          <w:szCs w:val="20"/>
          <w:color w:val="auto"/>
        </w:rPr>
      </w:pPr>
    </w:p>
    <w:p>
      <w:pPr>
        <w:ind w:right="20" w:firstLine="645"/>
        <w:spacing w:after="0" w:line="280" w:lineRule="auto"/>
        <w:rPr>
          <w:sz w:val="20"/>
          <w:szCs w:val="20"/>
          <w:color w:val="auto"/>
        </w:rPr>
      </w:pPr>
      <w:r>
        <w:rPr>
          <w:rFonts w:ascii="Times New Roman" w:cs="Times New Roman" w:eastAsia="Times New Roman" w:hAnsi="Times New Roman"/>
          <w:sz w:val="18"/>
          <w:szCs w:val="18"/>
          <w:color w:val="auto"/>
        </w:rPr>
        <w:t>“We believe we are positioned for a positive finish to fiscal 2026 and continue to maintain a clean, debt free, balance sheet with a simplified capital structure as we work to enhance stockholder value,” concluded Capps.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609600</wp:posOffset>
            </wp:positionV>
            <wp:extent cx="7132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7" w:lineRule="exact"/>
        <w:rPr>
          <w:sz w:val="20"/>
          <w:szCs w:val="20"/>
          <w:color w:val="auto"/>
        </w:rPr>
      </w:pPr>
    </w:p>
    <w:p>
      <w:pPr>
        <w:ind w:left="20" w:right="100" w:firstLine="645"/>
        <w:spacing w:after="0" w:line="269" w:lineRule="auto"/>
        <w:rPr>
          <w:sz w:val="20"/>
          <w:szCs w:val="20"/>
          <w:color w:val="auto"/>
        </w:rPr>
      </w:pPr>
      <w:r>
        <w:rPr>
          <w:rFonts w:ascii="Times New Roman" w:cs="Times New Roman" w:eastAsia="Times New Roman" w:hAnsi="Times New Roman"/>
          <w:sz w:val="17"/>
          <w:szCs w:val="17"/>
          <w:color w:val="auto"/>
        </w:rPr>
        <w:t>Management has scheduled a conference call for Wednesday December 10, 2025 at 9:00 a.m. Eastern Time (8:00 a.m. Central Time) to discuss the Company’s fiscal 2026 third quarter results. To access the call, please dial (412) 902-0030 and ask for the MIND Technology call at least 10 minutes prior to the start time. Investors may also listen to the conference live on the MIND Technology website, http://mind-technology.com, by logging onto the site and clicking “Investor Relations”. A telephonic replay of the conference call will be available through December 17, 2025, and may be accessed by calling</w:t>
      </w:r>
    </w:p>
    <w:p>
      <w:pPr>
        <w:spacing w:after="0" w:line="2" w:lineRule="exact"/>
        <w:rPr>
          <w:sz w:val="20"/>
          <w:szCs w:val="20"/>
          <w:color w:val="auto"/>
        </w:rPr>
      </w:pPr>
    </w:p>
    <w:p>
      <w:pPr>
        <w:ind w:left="20" w:right="380" w:firstLine="7"/>
        <w:spacing w:after="0" w:line="287" w:lineRule="auto"/>
        <w:tabs>
          <w:tab w:leader="none" w:pos="453"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612-7415 and using passcode 13757391#. A webcast archive will also be available at http://mind-technology.com shortly after the call and will be accessible for approximately 90 days. For more information, please contact Dennard Lascar Investor Relations by email at MIND@dennardlascar.com.</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ABOUT MIND TECHNOLOGY</w:t>
      </w:r>
    </w:p>
    <w:p>
      <w:pPr>
        <w:spacing w:after="0" w:line="227" w:lineRule="exact"/>
        <w:rPr>
          <w:sz w:val="20"/>
          <w:szCs w:val="20"/>
          <w:color w:val="auto"/>
        </w:rPr>
      </w:pPr>
    </w:p>
    <w:p>
      <w:pPr>
        <w:ind w:left="20" w:right="280" w:firstLine="645"/>
        <w:spacing w:after="0" w:line="264" w:lineRule="auto"/>
        <w:rPr>
          <w:sz w:val="20"/>
          <w:szCs w:val="20"/>
          <w:color w:val="auto"/>
        </w:rPr>
      </w:pPr>
      <w:r>
        <w:rPr>
          <w:rFonts w:ascii="Times New Roman" w:cs="Times New Roman" w:eastAsia="Times New Roman" w:hAnsi="Times New Roman"/>
          <w:sz w:val="18"/>
          <w:szCs w:val="18"/>
          <w:color w:val="auto"/>
        </w:rPr>
        <w:t>MIND Technology, Inc. provides technology to the oceanographic, hydrographic, defense, seismic and security industries. Headquartered in The Woodlands, Texas, MIND has a global presence with key operating locations in the United States, Singapore, Malaysia, and the United Kingdom. Its Seamap unit designs, manufactures and sells specialized, high performance, marine exploration and survey equipment.</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Forward-looking Statements</w:t>
      </w:r>
    </w:p>
    <w:p>
      <w:pPr>
        <w:spacing w:after="0" w:line="225" w:lineRule="exact"/>
        <w:rPr>
          <w:sz w:val="20"/>
          <w:szCs w:val="20"/>
          <w:color w:val="auto"/>
        </w:rPr>
      </w:pPr>
    </w:p>
    <w:p>
      <w:pPr>
        <w:jc w:val="both"/>
        <w:ind w:left="20" w:right="10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Certain statements and information in this press release concerning results for the quarter ended October 31, 2025 may constitute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within the meaning of the Private Securities Litigation Reform Act of 1995. All statements contained in this press release other than statements of historical fact, including statements regarding our future results of operations and financial position, our business strategy and plans, and our objectives for future operations, are forward-looking statements. The words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should,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other similar expressions are intended to identify forward-looking statements, which are generally not historical in nature. These forward-looking statements are based on our current expectations and beliefs concerning future developments and their potential effect on us. While management believes that these forward-looking statements are reasonable as and when made, there can be no assurance that future developments affecting us will be those that we anticipate. All comments concerning our expectations for future revenues and operating results are based on our forecasts of our existing operations and do not include the potential impact of any future acquisitions or dispositions. Our forward-looking statements involve significant risks and uncertainties (some of which are beyond our control) and assumptions that could cause actual results to differ materially from our historical experience and our present expectations or projections. These risks and uncertainties include, without limitation, reductions in our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capital budgets, our own capital budget, limitations on the availability of capital or higher costs of capital, and volatility in commodity prices for oil and natural gas.</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i w:val="1"/>
          <w:iCs w:val="1"/>
          <w:color w:val="auto"/>
        </w:rPr>
        <w:t>For additional information regarding known material factors that could cause our actual results to differ from our projected results, please see our filings wit the SEC, including our Annual Report on Form 10-K, Quarterly Reports on Form 10-Q and Current Reports on Form 8-K.</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Readers are cautioned not to place undue reliance on forward-looking statements, which speak only as of the date hereof. We undertake no obligation t publicly update or revise any forward-looking statements after the date they are made, unless required by law, whether as a result of new information, futur events or otherwise. All forward-looking statements included in this press release are expressly qualified in their entirety by the cautionary statement contained or referred to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Non-GAAP Financial Measures</w:t>
      </w:r>
    </w:p>
    <w:p>
      <w:pPr>
        <w:spacing w:after="0" w:line="2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i w:val="1"/>
          <w:iCs w:val="1"/>
          <w:color w:val="auto"/>
        </w:rPr>
        <w:t>Certain statements and information in this press release contain non-GAAP financial measures. Generally, a non-GAAP financial measure is a numerica measure of a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performance, financial position, or cash flows that either excludes or includes amounts that are not normally excluded or included i the most directly comparable measure calculated and presented in accordance with United States generally accepted accounting principles, or GAAP. Company management believes that these non-GAAP financial measures, when considered together with the GAAP financial measures, provide informatio that is useful to investors in understanding period-over-period operating results separate and apart from items that may, or could, have a disproportionatel positive or negative impact on results in any particular period. Company management also believes that these non-GAAP financial measures enhance th ability of investors to analyze the Company's business trends and to understand the Company's performance. In addition, the Company may utilize non-GAAP financial measures as guides in its forecasting, budgeting, and long-term planning processes and to measure operating performance for some managemen compensation purposes. Any analysis of non-GAAP financial measures should be used only in conjunction with results presented in accordance with GAAP.</w:t>
      </w:r>
    </w:p>
    <w:p>
      <w:pPr>
        <w:spacing w:after="0" w:line="17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i w:val="1"/>
          <w:iCs w:val="1"/>
          <w:color w:val="auto"/>
        </w:rPr>
        <w:t>Adjusted EBITDA, which is a non-GAAP measure, is defined and reconciled to reported net income from continuing operations and cash used in operatin activities in the accompanying financial tables. These are the most directly comparable financial measures calculated and presented in accordance wit United States generally accepted accounting principles, or GAAP.</w:t>
      </w:r>
    </w:p>
    <w:p>
      <w:pPr>
        <w:spacing w:after="0" w:line="17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i w:val="1"/>
          <w:iCs w:val="1"/>
          <w:color w:val="auto"/>
        </w:rPr>
        <w:t>Reconciliation of Backlog, which is a non-GAAP financial measure, is not included in this press release due to the inherent difficulty and impracticality o quantifying certain amounts that would be required to calculate the most directly comparable GAAP financial measures.</w:t>
      </w:r>
    </w:p>
    <w:p>
      <w:pPr>
        <w:spacing w:after="0" w:line="37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i w:val="1"/>
          <w:iCs w:val="1"/>
          <w:color w:val="auto"/>
        </w:rPr>
        <w:t>Tables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376555</wp:posOffset>
            </wp:positionV>
            <wp:extent cx="7132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60"/>
          </w:cols>
          <w:pgMar w:left="300" w:top="574"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MIND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000" w:type="dxa"/>
            <w:vAlign w:val="bottom"/>
          </w:tcPr>
          <w:p>
            <w:pPr>
              <w:spacing w:after="0"/>
              <w:rPr>
                <w:sz w:val="20"/>
                <w:szCs w:val="20"/>
                <w:color w:val="auto"/>
              </w:rPr>
            </w:pPr>
          </w:p>
        </w:tc>
        <w:tc>
          <w:tcPr>
            <w:tcW w:w="15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October 31, 2025</w:t>
            </w:r>
          </w:p>
        </w:tc>
        <w:tc>
          <w:tcPr>
            <w:tcW w:w="100" w:type="dxa"/>
            <w:vAlign w:val="bottom"/>
          </w:tcPr>
          <w:p>
            <w:pPr>
              <w:spacing w:after="0"/>
              <w:rPr>
                <w:sz w:val="20"/>
                <w:szCs w:val="20"/>
                <w:color w:val="auto"/>
              </w:rPr>
            </w:pPr>
          </w:p>
        </w:tc>
        <w:tc>
          <w:tcPr>
            <w:tcW w:w="15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January 31, 2025</w:t>
            </w:r>
          </w:p>
        </w:tc>
      </w:tr>
      <w:tr>
        <w:trPr>
          <w:trHeight w:val="208"/>
        </w:trPr>
        <w:tc>
          <w:tcPr>
            <w:tcW w:w="8000" w:type="dxa"/>
            <w:vAlign w:val="bottom"/>
            <w:shd w:val="clear" w:color="auto" w:fill="CCEEFF"/>
          </w:tcPr>
          <w:p>
            <w:pPr>
              <w:ind w:left="5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5"/>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19,387</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5,336</w:t>
            </w:r>
          </w:p>
        </w:tc>
      </w:tr>
      <w:tr>
        <w:trPr>
          <w:trHeight w:val="197"/>
        </w:trPr>
        <w:tc>
          <w:tcPr>
            <w:tcW w:w="8000" w:type="dxa"/>
            <w:vAlign w:val="bottom"/>
          </w:tcPr>
          <w:p>
            <w:pPr>
              <w:ind w:left="340"/>
              <w:spacing w:after="0" w:line="197"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$332 at each of October 31, 2025 and January</w:t>
            </w: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3"/>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31, 2025</w:t>
            </w:r>
          </w:p>
        </w:tc>
        <w:tc>
          <w:tcPr>
            <w:tcW w:w="4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10,607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11,817</w:t>
            </w:r>
          </w:p>
        </w:tc>
      </w:tr>
      <w:tr>
        <w:trPr>
          <w:trHeight w:val="215"/>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11,713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13,745</w:t>
            </w:r>
          </w:p>
        </w:tc>
      </w:tr>
      <w:tr>
        <w:trPr>
          <w:trHeight w:val="215"/>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1,217</w:t>
            </w:r>
          </w:p>
        </w:tc>
      </w:tr>
      <w:tr>
        <w:trPr>
          <w:trHeight w:val="208"/>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42,781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32,115</w:t>
            </w:r>
          </w:p>
        </w:tc>
      </w:tr>
      <w:tr>
        <w:trPr>
          <w:trHeight w:val="215"/>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890</w:t>
            </w:r>
          </w:p>
        </w:tc>
      </w:tr>
      <w:tr>
        <w:trPr>
          <w:trHeight w:val="21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1,320</w:t>
            </w:r>
          </w:p>
        </w:tc>
      </w:tr>
      <w:tr>
        <w:trPr>
          <w:trHeight w:val="215"/>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4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2,308</w:t>
            </w:r>
          </w:p>
        </w:tc>
      </w:tr>
      <w:tr>
        <w:trPr>
          <w:trHeight w:val="215"/>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4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r>
      <w:tr>
        <w:trPr>
          <w:trHeight w:val="208"/>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47,344</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36,720</w:t>
            </w:r>
          </w:p>
        </w:tc>
      </w:tr>
      <w:tr>
        <w:trPr>
          <w:trHeight w:val="20"/>
        </w:trPr>
        <w:tc>
          <w:tcPr>
            <w:tcW w:w="80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8000" w:type="dxa"/>
            <w:vAlign w:val="bottom"/>
            <w:shd w:val="clear" w:color="auto" w:fill="CCEEFF"/>
          </w:tcPr>
          <w:p>
            <w:pPr>
              <w:ind w:left="3620"/>
              <w:spacing w:after="0" w:line="195"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5"/>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5"/>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1,698</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2,558</w:t>
            </w:r>
          </w:p>
        </w:tc>
      </w:tr>
      <w:tr>
        <w:trPr>
          <w:trHeight w:val="215"/>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4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r>
      <w:tr>
        <w:trPr>
          <w:trHeight w:val="215"/>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Customer deposits</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1,603</w:t>
            </w:r>
          </w:p>
        </w:tc>
      </w:tr>
      <w:tr>
        <w:trPr>
          <w:trHeight w:val="215"/>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1,245</w:t>
            </w:r>
          </w:p>
        </w:tc>
      </w:tr>
      <w:tr>
        <w:trPr>
          <w:trHeight w:val="215"/>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2,473</w:t>
            </w:r>
          </w:p>
        </w:tc>
      </w:tr>
      <w:tr>
        <w:trPr>
          <w:trHeight w:val="215"/>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577</w:t>
            </w:r>
          </w:p>
        </w:tc>
      </w:tr>
      <w:tr>
        <w:trPr>
          <w:trHeight w:val="208"/>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6,816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8,645</w:t>
            </w:r>
          </w:p>
        </w:tc>
      </w:tr>
      <w:tr>
        <w:trPr>
          <w:trHeight w:val="215"/>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743</w:t>
            </w:r>
          </w:p>
        </w:tc>
      </w:tr>
      <w:tr>
        <w:trPr>
          <w:trHeight w:val="208"/>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7,401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9,388</w:t>
            </w:r>
          </w:p>
        </w:tc>
      </w:tr>
      <w:tr>
        <w:trPr>
          <w:trHeight w:val="215"/>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7"/>
        </w:trPr>
        <w:tc>
          <w:tcPr>
            <w:tcW w:w="8000" w:type="dxa"/>
            <w:vAlign w:val="bottom"/>
            <w:shd w:val="clear" w:color="auto" w:fill="CCEEFF"/>
          </w:tcPr>
          <w:p>
            <w:pPr>
              <w:ind w:left="340"/>
              <w:spacing w:after="0" w:line="197" w:lineRule="exact"/>
              <w:rPr>
                <w:sz w:val="20"/>
                <w:szCs w:val="20"/>
                <w:color w:val="auto"/>
              </w:rPr>
            </w:pPr>
            <w:r>
              <w:rPr>
                <w:rFonts w:ascii="Times New Roman" w:cs="Times New Roman" w:eastAsia="Times New Roman" w:hAnsi="Times New Roman"/>
                <w:sz w:val="18"/>
                <w:szCs w:val="18"/>
                <w:color w:val="auto"/>
              </w:rPr>
              <w:t>Common stock, $0.01 par value; 40,000 shares authorized; 8,974 shares issued and outstanding at</w:t>
            </w: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3"/>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October 31, 2025 and 7,969 shares issued and outstanding at January 31, 2025</w:t>
            </w:r>
          </w:p>
        </w:tc>
        <w:tc>
          <w:tcPr>
            <w:tcW w:w="4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r>
      <w:tr>
        <w:trPr>
          <w:trHeight w:val="215"/>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147,246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135,666</w:t>
            </w:r>
          </w:p>
        </w:tc>
      </w:tr>
      <w:tr>
        <w:trPr>
          <w:trHeight w:val="215"/>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(107,427)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(108,448)</w:t>
            </w:r>
          </w:p>
        </w:tc>
      </w:tr>
      <w:tr>
        <w:trPr>
          <w:trHeight w:val="215"/>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208"/>
        </w:trPr>
        <w:tc>
          <w:tcPr>
            <w:tcW w:w="800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39,943</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27,332</w:t>
            </w:r>
          </w:p>
        </w:tc>
      </w:tr>
      <w:tr>
        <w:trPr>
          <w:trHeight w:val="208"/>
        </w:trPr>
        <w:tc>
          <w:tcPr>
            <w:tcW w:w="80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47,344</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36,720</w:t>
            </w:r>
          </w:p>
        </w:tc>
      </w:tr>
      <w:tr>
        <w:trPr>
          <w:trHeight w:val="20"/>
        </w:trPr>
        <w:tc>
          <w:tcPr>
            <w:tcW w:w="80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552"/>
        </w:trPr>
        <w:tc>
          <w:tcPr>
            <w:tcW w:w="8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MIND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7"/>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860" w:type="dxa"/>
            <w:vAlign w:val="bottom"/>
            <w:tcBorders>
              <w:bottom w:val="single" w:sz="8" w:color="auto"/>
            </w:tcBorders>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Sales of marine technology products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9,688</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31,151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31,819</w:t>
            </w: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Sales of marine technology products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5,175</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6,684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16,478</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17,402</w:t>
            </w: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4,513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14,417</w:t>
            </w:r>
          </w:p>
        </w:tc>
      </w:tr>
      <w:tr>
        <w:trPr>
          <w:trHeight w:val="215"/>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3,021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8,305</w:t>
            </w:r>
          </w:p>
        </w:tc>
      </w:tr>
      <w:tr>
        <w:trPr>
          <w:trHeight w:val="215"/>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1,352</w:t>
            </w:r>
          </w:p>
        </w:tc>
      </w:tr>
      <w:tr>
        <w:trPr>
          <w:trHeight w:val="215"/>
        </w:trPr>
        <w:tc>
          <w:tcPr>
            <w:tcW w:w="20" w:type="dxa"/>
            <w:vAlign w:val="bottom"/>
          </w:tcPr>
          <w:p>
            <w:pPr>
              <w:spacing w:after="0"/>
              <w:rPr>
                <w:sz w:val="18"/>
                <w:szCs w:val="18"/>
                <w:color w:val="auto"/>
              </w:rPr>
            </w:pPr>
          </w:p>
        </w:tc>
        <w:tc>
          <w:tcPr>
            <w:tcW w:w="5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724</w:t>
            </w:r>
          </w:p>
        </w:tc>
      </w:tr>
      <w:tr>
        <w:trPr>
          <w:trHeight w:val="208"/>
        </w:trPr>
        <w:tc>
          <w:tcPr>
            <w:tcW w:w="20" w:type="dxa"/>
            <w:vAlign w:val="bottom"/>
          </w:tcPr>
          <w:p>
            <w:pPr>
              <w:spacing w:after="0"/>
              <w:rPr>
                <w:sz w:val="18"/>
                <w:szCs w:val="18"/>
                <w:color w:val="auto"/>
              </w:rPr>
            </w:pPr>
          </w:p>
        </w:tc>
        <w:tc>
          <w:tcPr>
            <w:tcW w:w="59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3,739</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3,545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11,893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10,381</w:t>
            </w: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4,036</w:t>
            </w:r>
          </w:p>
        </w:tc>
      </w:tr>
      <w:tr>
        <w:trPr>
          <w:trHeight w:val="215"/>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w:t>
            </w:r>
          </w:p>
        </w:tc>
      </w:tr>
      <w:tr>
        <w:trPr>
          <w:trHeight w:val="208"/>
        </w:trPr>
        <w:tc>
          <w:tcPr>
            <w:tcW w:w="20" w:type="dxa"/>
            <w:vAlign w:val="bottom"/>
          </w:tcPr>
          <w:p>
            <w:pPr>
              <w:spacing w:after="0"/>
              <w:rPr>
                <w:sz w:val="18"/>
                <w:szCs w:val="18"/>
                <w:color w:val="auto"/>
              </w:rPr>
            </w:pPr>
          </w:p>
        </w:tc>
        <w:tc>
          <w:tcPr>
            <w:tcW w:w="59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320</w:t>
            </w: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4,356</w:t>
            </w:r>
          </w:p>
        </w:tc>
      </w:tr>
      <w:tr>
        <w:trPr>
          <w:trHeight w:val="215"/>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1,021</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3,043</w:t>
            </w:r>
          </w:p>
        </w:tc>
      </w:tr>
      <w:tr>
        <w:trPr>
          <w:trHeight w:val="215"/>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dividends - undeclared</w:t>
            </w: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r>
      <w:tr>
        <w:trPr>
          <w:trHeight w:val="215"/>
        </w:trPr>
        <w:tc>
          <w:tcPr>
            <w:tcW w:w="20" w:type="dxa"/>
            <w:vAlign w:val="bottom"/>
          </w:tcPr>
          <w:p>
            <w:pPr>
              <w:spacing w:after="0"/>
              <w:rPr>
                <w:sz w:val="18"/>
                <w:szCs w:val="18"/>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preferred stock conversion</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14,785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14,785</w:t>
            </w:r>
          </w:p>
        </w:tc>
      </w:tr>
      <w:tr>
        <w:trPr>
          <w:trHeight w:val="20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common stockholders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15,708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1,021</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15,566</w:t>
            </w: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59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Net income per common share -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30"/>
              <w:spacing w:after="0" w:line="195" w:lineRule="exact"/>
              <w:rPr>
                <w:sz w:val="20"/>
                <w:szCs w:val="20"/>
                <w:color w:val="auto"/>
              </w:rPr>
            </w:pPr>
            <w:r>
              <w:rPr>
                <w:rFonts w:ascii="Times New Roman" w:cs="Times New Roman" w:eastAsia="Times New Roman" w:hAnsi="Times New Roman"/>
                <w:sz w:val="18"/>
                <w:szCs w:val="18"/>
                <w:color w:val="auto"/>
              </w:rPr>
              <w:t>0.01</w:t>
            </w:r>
          </w:p>
        </w:tc>
        <w:tc>
          <w:tcPr>
            <w:tcW w:w="460" w:type="dxa"/>
            <w:vAlign w:val="bottom"/>
            <w:gridSpan w:val="2"/>
            <w:shd w:val="clear" w:color="auto" w:fill="CCEEFF"/>
          </w:tcPr>
          <w:p>
            <w:pPr>
              <w:jc w:val="right"/>
              <w:ind w:right="26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rPr>
              <w:t>2.87</w:t>
            </w:r>
          </w:p>
        </w:tc>
        <w:tc>
          <w:tcPr>
            <w:tcW w:w="220" w:type="dxa"/>
            <w:vAlign w:val="bottom"/>
            <w:gridSpan w:val="2"/>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line="195" w:lineRule="exact"/>
              <w:rPr>
                <w:sz w:val="20"/>
                <w:szCs w:val="20"/>
                <w:color w:val="auto"/>
              </w:rPr>
            </w:pPr>
            <w:r>
              <w:rPr>
                <w:rFonts w:ascii="Times New Roman" w:cs="Times New Roman" w:eastAsia="Times New Roman" w:hAnsi="Times New Roman"/>
                <w:sz w:val="18"/>
                <w:szCs w:val="18"/>
                <w:color w:val="auto"/>
              </w:rPr>
              <w:t>0.13</w:t>
            </w:r>
          </w:p>
        </w:tc>
        <w:tc>
          <w:tcPr>
            <w:tcW w:w="460" w:type="dxa"/>
            <w:vAlign w:val="bottom"/>
            <w:gridSpan w:val="2"/>
            <w:shd w:val="clear" w:color="auto" w:fill="CCEEFF"/>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rPr>
              <w:t>5.62</w:t>
            </w:r>
          </w:p>
        </w:tc>
      </w:tr>
      <w:tr>
        <w:trPr>
          <w:trHeight w:val="195"/>
        </w:trPr>
        <w:tc>
          <w:tcPr>
            <w:tcW w:w="20" w:type="dxa"/>
            <w:vAlign w:val="bottom"/>
          </w:tcPr>
          <w:p>
            <w:pPr>
              <w:spacing w:after="0"/>
              <w:rPr>
                <w:sz w:val="16"/>
                <w:szCs w:val="16"/>
                <w:color w:val="auto"/>
              </w:rPr>
            </w:pPr>
          </w:p>
        </w:tc>
        <w:tc>
          <w:tcPr>
            <w:tcW w:w="5960" w:type="dxa"/>
            <w:vAlign w:val="bottom"/>
            <w:tcBorders>
              <w:top w:val="single" w:sz="8" w:color="CCEEFF"/>
            </w:tcBorders>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Shares used in computing net income per common share:</w:t>
            </w: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r>
      <w:tr>
        <w:trPr>
          <w:trHeight w:val="255"/>
        </w:trPr>
        <w:tc>
          <w:tcPr>
            <w:tcW w:w="20" w:type="dxa"/>
            <w:vAlign w:val="bottom"/>
          </w:tcPr>
          <w:p>
            <w:pPr>
              <w:spacing w:after="0"/>
              <w:rPr>
                <w:sz w:val="22"/>
                <w:szCs w:val="22"/>
                <w:color w:val="auto"/>
              </w:rPr>
            </w:pPr>
          </w:p>
        </w:tc>
        <w:tc>
          <w:tcPr>
            <w:tcW w:w="5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8,046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5,473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2,772</w:t>
            </w:r>
          </w:p>
        </w:tc>
      </w:tr>
      <w:tr>
        <w:trPr>
          <w:trHeight w:val="552"/>
        </w:trPr>
        <w:tc>
          <w:tcPr>
            <w:tcW w:w="20" w:type="dxa"/>
            <w:vAlign w:val="bottom"/>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MIND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40" w:type="dxa"/>
            <w:vAlign w:val="bottom"/>
            <w:tcBorders>
              <w:bottom w:val="single" w:sz="8" w:color="auto"/>
            </w:tcBorders>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October 31,</w:t>
            </w:r>
          </w:p>
        </w:tc>
      </w:tr>
      <w:tr>
        <w:trPr>
          <w:trHeight w:val="208"/>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154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3,043</w:t>
            </w:r>
          </w:p>
        </w:tc>
      </w:tr>
      <w:tr>
        <w:trPr>
          <w:trHeight w:val="215"/>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3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724</w:t>
            </w:r>
          </w:p>
        </w:tc>
      </w:tr>
      <w:tr>
        <w:trPr>
          <w:trHeight w:val="215"/>
        </w:trPr>
        <w:tc>
          <w:tcPr>
            <w:tcW w:w="20" w:type="dxa"/>
            <w:vAlign w:val="bottom"/>
          </w:tcPr>
          <w:p>
            <w:pPr>
              <w:spacing w:after="0"/>
              <w:rPr>
                <w:sz w:val="18"/>
                <w:szCs w:val="18"/>
                <w:color w:val="auto"/>
              </w:rPr>
            </w:pPr>
          </w:p>
        </w:tc>
        <w:tc>
          <w:tcPr>
            <w:tcW w:w="7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Stock-based compensation</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r>
      <w:tr>
        <w:trPr>
          <w:trHeight w:val="215"/>
        </w:trPr>
        <w:tc>
          <w:tcPr>
            <w:tcW w:w="20" w:type="dxa"/>
            <w:vAlign w:val="bottom"/>
          </w:tcPr>
          <w:p>
            <w:pPr>
              <w:spacing w:after="0"/>
              <w:rPr>
                <w:sz w:val="18"/>
                <w:szCs w:val="18"/>
                <w:color w:val="auto"/>
              </w:rPr>
            </w:pPr>
          </w:p>
        </w:tc>
        <w:tc>
          <w:tcPr>
            <w:tcW w:w="73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Provision for inventory obsolescence</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r>
      <w:tr>
        <w:trPr>
          <w:trHeight w:val="215"/>
        </w:trPr>
        <w:tc>
          <w:tcPr>
            <w:tcW w:w="20" w:type="dxa"/>
            <w:vAlign w:val="bottom"/>
          </w:tcPr>
          <w:p>
            <w:pPr>
              <w:spacing w:after="0"/>
              <w:rPr>
                <w:sz w:val="18"/>
                <w:szCs w:val="18"/>
                <w:color w:val="auto"/>
              </w:rPr>
            </w:pPr>
          </w:p>
        </w:tc>
        <w:tc>
          <w:tcPr>
            <w:tcW w:w="7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Gross profit from sale of other equipment</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15"/>
        </w:trPr>
        <w:tc>
          <w:tcPr>
            <w:tcW w:w="20" w:type="dxa"/>
            <w:vAlign w:val="bottom"/>
          </w:tcPr>
          <w:p>
            <w:pPr>
              <w:spacing w:after="0"/>
              <w:rPr>
                <w:sz w:val="18"/>
                <w:szCs w:val="18"/>
                <w:color w:val="auto"/>
              </w:rPr>
            </w:pPr>
          </w:p>
        </w:tc>
        <w:tc>
          <w:tcPr>
            <w:tcW w:w="73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Deferred tax benefit</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3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Accounts receivable</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w:t>
            </w:r>
          </w:p>
        </w:tc>
      </w:tr>
      <w:tr>
        <w:trPr>
          <w:trHeight w:val="215"/>
        </w:trPr>
        <w:tc>
          <w:tcPr>
            <w:tcW w:w="20" w:type="dxa"/>
            <w:vAlign w:val="bottom"/>
          </w:tcPr>
          <w:p>
            <w:pPr>
              <w:spacing w:after="0"/>
              <w:rPr>
                <w:sz w:val="18"/>
                <w:szCs w:val="18"/>
                <w:color w:val="auto"/>
              </w:rPr>
            </w:pPr>
          </w:p>
        </w:tc>
        <w:tc>
          <w:tcPr>
            <w:tcW w:w="7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Unbilled revenue</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r>
      <w:tr>
        <w:trPr>
          <w:trHeight w:val="215"/>
        </w:trPr>
        <w:tc>
          <w:tcPr>
            <w:tcW w:w="20" w:type="dxa"/>
            <w:vAlign w:val="bottom"/>
          </w:tcPr>
          <w:p>
            <w:pPr>
              <w:spacing w:after="0"/>
              <w:rPr>
                <w:sz w:val="18"/>
                <w:szCs w:val="18"/>
                <w:color w:val="auto"/>
              </w:rPr>
            </w:pPr>
          </w:p>
        </w:tc>
        <w:tc>
          <w:tcPr>
            <w:tcW w:w="73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Inventories</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w:t>
            </w:r>
          </w:p>
        </w:tc>
      </w:tr>
      <w:tr>
        <w:trPr>
          <w:trHeight w:val="215"/>
        </w:trPr>
        <w:tc>
          <w:tcPr>
            <w:tcW w:w="20" w:type="dxa"/>
            <w:vAlign w:val="bottom"/>
          </w:tcPr>
          <w:p>
            <w:pPr>
              <w:spacing w:after="0"/>
              <w:rPr>
                <w:sz w:val="18"/>
                <w:szCs w:val="18"/>
                <w:color w:val="auto"/>
              </w:rPr>
            </w:pPr>
          </w:p>
        </w:tc>
        <w:tc>
          <w:tcPr>
            <w:tcW w:w="7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Prepaid expenses and other current and long-term assets</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2,076</w:t>
            </w:r>
          </w:p>
        </w:tc>
      </w:tr>
      <w:tr>
        <w:trPr>
          <w:trHeight w:val="215"/>
        </w:trPr>
        <w:tc>
          <w:tcPr>
            <w:tcW w:w="20" w:type="dxa"/>
            <w:vAlign w:val="bottom"/>
          </w:tcPr>
          <w:p>
            <w:pPr>
              <w:spacing w:after="0"/>
              <w:rPr>
                <w:sz w:val="18"/>
                <w:szCs w:val="18"/>
                <w:color w:val="auto"/>
              </w:rPr>
            </w:pPr>
          </w:p>
        </w:tc>
        <w:tc>
          <w:tcPr>
            <w:tcW w:w="73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Income taxes receivable and payable</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5"/>
        </w:trPr>
        <w:tc>
          <w:tcPr>
            <w:tcW w:w="20" w:type="dxa"/>
            <w:vAlign w:val="bottom"/>
          </w:tcPr>
          <w:p>
            <w:pPr>
              <w:spacing w:after="0"/>
              <w:rPr>
                <w:sz w:val="18"/>
                <w:szCs w:val="18"/>
                <w:color w:val="auto"/>
              </w:rPr>
            </w:pPr>
          </w:p>
        </w:tc>
        <w:tc>
          <w:tcPr>
            <w:tcW w:w="7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Accounts payable, accrued expenses and other current liabilities</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r>
      <w:tr>
        <w:trPr>
          <w:trHeight w:val="215"/>
        </w:trPr>
        <w:tc>
          <w:tcPr>
            <w:tcW w:w="20" w:type="dxa"/>
            <w:vAlign w:val="bottom"/>
          </w:tcPr>
          <w:p>
            <w:pPr>
              <w:spacing w:after="0"/>
              <w:rPr>
                <w:sz w:val="18"/>
                <w:szCs w:val="18"/>
                <w:color w:val="auto"/>
              </w:rPr>
            </w:pPr>
          </w:p>
        </w:tc>
        <w:tc>
          <w:tcPr>
            <w:tcW w:w="73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Deferred revenue and customer deposits</w:t>
            </w:r>
          </w:p>
        </w:tc>
        <w:tc>
          <w:tcPr>
            <w:tcW w:w="6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08"/>
        </w:trPr>
        <w:tc>
          <w:tcPr>
            <w:tcW w:w="20" w:type="dxa"/>
            <w:vAlign w:val="bottom"/>
          </w:tcPr>
          <w:p>
            <w:pPr>
              <w:spacing w:after="0"/>
              <w:rPr>
                <w:sz w:val="18"/>
                <w:szCs w:val="18"/>
                <w:color w:val="auto"/>
              </w:rPr>
            </w:pPr>
          </w:p>
        </w:tc>
        <w:tc>
          <w:tcPr>
            <w:tcW w:w="738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6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3,803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r>
      <w:tr>
        <w:trPr>
          <w:trHeight w:val="208"/>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15"/>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Sale of other equipment</w:t>
            </w:r>
          </w:p>
        </w:tc>
        <w:tc>
          <w:tcPr>
            <w:tcW w:w="6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457</w:t>
            </w:r>
          </w:p>
        </w:tc>
      </w:tr>
      <w:tr>
        <w:trPr>
          <w:trHeight w:val="208"/>
        </w:trPr>
        <w:tc>
          <w:tcPr>
            <w:tcW w:w="20" w:type="dxa"/>
            <w:vAlign w:val="bottom"/>
          </w:tcPr>
          <w:p>
            <w:pPr>
              <w:spacing w:after="0"/>
              <w:rPr>
                <w:sz w:val="18"/>
                <w:szCs w:val="18"/>
                <w:color w:val="auto"/>
              </w:rPr>
            </w:pPr>
          </w:p>
        </w:tc>
        <w:tc>
          <w:tcPr>
            <w:tcW w:w="73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r>
      <w:tr>
        <w:trPr>
          <w:trHeight w:val="215"/>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conversion transaction costs</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15"/>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issuance of common stock</w:t>
            </w:r>
          </w:p>
        </w:tc>
        <w:tc>
          <w:tcPr>
            <w:tcW w:w="6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10,754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8"/>
        </w:trPr>
        <w:tc>
          <w:tcPr>
            <w:tcW w:w="20" w:type="dxa"/>
            <w:vAlign w:val="bottom"/>
          </w:tcPr>
          <w:p>
            <w:pPr>
              <w:spacing w:after="0"/>
              <w:rPr>
                <w:sz w:val="18"/>
                <w:szCs w:val="18"/>
                <w:color w:val="auto"/>
              </w:rPr>
            </w:pPr>
          </w:p>
        </w:tc>
        <w:tc>
          <w:tcPr>
            <w:tcW w:w="738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6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10,754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08"/>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changes in foreign exchange rates on cash and cash equivalents</w:t>
            </w:r>
          </w:p>
        </w:tc>
        <w:tc>
          <w:tcPr>
            <w:tcW w:w="6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r>
      <w:tr>
        <w:trPr>
          <w:trHeight w:val="215"/>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6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5,336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5,289</w:t>
            </w:r>
          </w:p>
        </w:tc>
      </w:tr>
      <w:tr>
        <w:trPr>
          <w:trHeight w:val="248"/>
        </w:trPr>
        <w:tc>
          <w:tcPr>
            <w:tcW w:w="20" w:type="dxa"/>
            <w:vAlign w:val="bottom"/>
          </w:tcPr>
          <w:p>
            <w:pPr>
              <w:spacing w:after="0"/>
              <w:rPr>
                <w:sz w:val="21"/>
                <w:szCs w:val="21"/>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54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19,387</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3,505</w:t>
            </w:r>
          </w:p>
        </w:tc>
      </w:tr>
      <w:tr>
        <w:trPr>
          <w:trHeight w:val="552"/>
        </w:trPr>
        <w:tc>
          <w:tcPr>
            <w:tcW w:w="20" w:type="dxa"/>
            <w:vAlign w:val="bottom"/>
          </w:tcPr>
          <w:p>
            <w:pPr>
              <w:spacing w:after="0"/>
              <w:rPr>
                <w:sz w:val="24"/>
                <w:szCs w:val="24"/>
                <w:color w:val="auto"/>
              </w:rPr>
            </w:pPr>
          </w:p>
        </w:tc>
        <w:tc>
          <w:tcPr>
            <w:tcW w:w="738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57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MIND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and Net Cash Used in Operating Activities to EBITDA and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EBITDA from Continuing Operations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20" w:type="dxa"/>
            <w:vAlign w:val="bottom"/>
          </w:tcPr>
          <w:p>
            <w:pPr>
              <w:spacing w:after="0"/>
              <w:rPr>
                <w:sz w:val="18"/>
                <w:szCs w:val="18"/>
                <w:color w:val="auto"/>
              </w:rPr>
            </w:pPr>
          </w:p>
        </w:tc>
        <w:tc>
          <w:tcPr>
            <w:tcW w:w="244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9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0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to EBITDA and Adjusted EBITDA</w:t>
            </w:r>
          </w:p>
        </w:tc>
        <w:tc>
          <w:tcPr>
            <w:tcW w:w="1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(in thousands)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3,043</w:t>
            </w: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15"/>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1,313</w:t>
            </w:r>
          </w:p>
        </w:tc>
        <w:tc>
          <w:tcPr>
            <w:tcW w:w="0" w:type="dxa"/>
            <w:vAlign w:val="bottom"/>
          </w:tcPr>
          <w:p>
            <w:pPr>
              <w:spacing w:after="0"/>
              <w:rPr>
                <w:sz w:val="1"/>
                <w:szCs w:val="1"/>
                <w:color w:val="auto"/>
              </w:rPr>
            </w:pPr>
          </w:p>
        </w:tc>
      </w:tr>
      <w:tr>
        <w:trPr>
          <w:trHeight w:val="20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5,080</w:t>
            </w:r>
          </w:p>
        </w:tc>
        <w:tc>
          <w:tcPr>
            <w:tcW w:w="0" w:type="dxa"/>
            <w:vAlign w:val="bottom"/>
          </w:tcPr>
          <w:p>
            <w:pPr>
              <w:spacing w:after="0"/>
              <w:rPr>
                <w:sz w:val="1"/>
                <w:szCs w:val="1"/>
                <w:color w:val="auto"/>
              </w:rPr>
            </w:pP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5"/>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1,273</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4,191</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5,221</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Reconciliation of Net Cash (Used in) Provided by Operating Activities to</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0" w:type="dxa"/>
            <w:vAlign w:val="bottom"/>
          </w:tcPr>
          <w:p>
            <w:pPr>
              <w:spacing w:after="0"/>
              <w:rPr>
                <w:sz w:val="1"/>
                <w:szCs w:val="1"/>
                <w:color w:val="auto"/>
              </w:rPr>
            </w:pP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inventory obsolescence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Changes in accounts receivable</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2,842</w:t>
            </w: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paid, net of refunds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1,411</w:t>
            </w:r>
          </w:p>
        </w:tc>
        <w:tc>
          <w:tcPr>
            <w:tcW w:w="0" w:type="dxa"/>
            <w:vAlign w:val="bottom"/>
          </w:tcPr>
          <w:p>
            <w:pPr>
              <w:spacing w:after="0"/>
              <w:rPr>
                <w:sz w:val="1"/>
                <w:szCs w:val="1"/>
                <w:color w:val="auto"/>
              </w:rPr>
            </w:pP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from sale of other equipment</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inventory</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3,944</w:t>
            </w:r>
          </w:p>
        </w:tc>
        <w:tc>
          <w:tcPr>
            <w:tcW w:w="0" w:type="dxa"/>
            <w:vAlign w:val="bottom"/>
          </w:tcPr>
          <w:p>
            <w:pPr>
              <w:spacing w:after="0"/>
              <w:rPr>
                <w:sz w:val="1"/>
                <w:szCs w:val="1"/>
                <w:color w:val="auto"/>
              </w:rPr>
            </w:pPr>
          </w:p>
        </w:tc>
      </w:tr>
      <w:tr>
        <w:trPr>
          <w:trHeight w:val="197"/>
        </w:trPr>
        <w:tc>
          <w:tcPr>
            <w:tcW w:w="59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Changes in accounts payable, accrued expenses and other current liabilities and</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prepaid expenses and other current and long-term assets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0" w:type="dxa"/>
            <w:vAlign w:val="bottom"/>
          </w:tcPr>
          <w:p>
            <w:pPr>
              <w:spacing w:after="0"/>
              <w:rPr>
                <w:sz w:val="1"/>
                <w:szCs w:val="1"/>
                <w:color w:val="auto"/>
              </w:rPr>
            </w:pPr>
          </w:p>
        </w:tc>
      </w:tr>
      <w:tr>
        <w:trPr>
          <w:trHeight w:val="215"/>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8"/>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3,355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5,080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540" w:right="80" w:hanging="318"/>
        <w:spacing w:after="0" w:line="251"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are non-GAAP financial measures. EBITDA is defined as net income before (a) interest income and interest expense, (b) provision for (or benefit from) income taxes and (c) depreciation and amortization. Adjusted EBITDA excludes non-cash foreign exchange gains and losses, stock-based compensation, impairment of intangible assets and other non-cash tax related items. We consider EBITDA and Adjusted EBITDA to be important indicators for the performance of our business, but not measures of performance or liquidity calculated in accordance with GAAP. We have included these non-GAAP financial measures because management utilizes this information for assessing our performance and liquidity, and as indicators of our ability to make capital expenditures, service debt and finance working capital requirements and we believe that EBITDA and Adjusted EBITDA are measurements that are commonly used by analysts and some investors in evaluating the performance and liquidity of companies such as us. In particular, we believe that it is useful to our analysts and investors to understand this relationship because it excludes transactions not related to our core cash operating activities. We believe that excluding these transactions allows investors to meaningfully trend and analyze the performance of our core cash operations. EBITDA and Adjusted EBITDA are not measures of financial performance or liquidity under GAAP and should not be considered in isolation or as alternatives to cash flow from operating activities or as alternatives to net income as indicators of operating performance or any other measures of performance derived in accordance with GAAP. In evaluating our performance as measured by EBITDA, management recognizes and considers the limitations of this measurement. EBITDA and Adjusted EBITDA do not reflect our obligations for the payment of income taxes, interest expense or other obligations such as capital expenditures. Accordingly, EBITDA and Adjusted EBITDA are only two of the measurements that management utilizes. Other companies in our industry may calculate EBITDA or Adjusted EBITDA differently than we do and EBITDA and Adjusted EBITDA may not be comparable with similarly titled measures reported by other companies.</w:t>
      </w:r>
    </w:p>
    <w:sectPr>
      <w:pgSz w:w="11900" w:h="16838" w:orient="portrait"/>
      <w:cols w:equalWidth="0" w:num="1">
        <w:col w:w="11240"/>
      </w:cols>
      <w:pgMar w:left="320" w:top="5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20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2025-12-09T15:32:03Z</dcterms:created>
  <dcterms:modified xsi:type="dcterms:W3CDTF">2025-12-09T15:32:03Z</dcterms:modified>
</cp:coreProperties>
</file>