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ind20260731_10q.htm"/>
      <w:bookmarkStart w:id="1" w:name="ksmind20260731_10q"/>
      <w:bookmarkEnd w:id="0"/>
      <w:bookmarkEnd w:id="1"/>
      <w:r>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80"/>
        <w:ind w:left="0" w:right="0" w:hanging="0"/>
        <w:jc w:val="center"/>
        <w:rPr>
          <w:rFonts w:ascii="Times New Roman;Times;serif" w:hAnsi="Times New Roman;Times;serif"/>
          <w:b/>
          <w:caps w:val="false"/>
          <w:smallCaps w:val="false"/>
          <w:color w:val="000000"/>
          <w:sz w:val="24"/>
        </w:rPr>
      </w:pPr>
      <w:r>
        <w:rPr>
          <w:rFonts w:ascii="Times New Roman;Times;serif" w:hAnsi="Times New Roman;Times;serif"/>
          <w:b/>
          <w:caps w:val="false"/>
          <w:smallCaps w:val="false"/>
          <w:color w:val="000000"/>
          <w:sz w:val="24"/>
        </w:rPr>
        <w:t>WASHINGTON, D.C. 20549</w:t>
      </w:r>
    </w:p>
    <w:tbl>
      <w:tblPr>
        <w:tblW w:w="1850" w:type="dxa"/>
        <w:jc w:val="left"/>
        <w:tblInd w:w="0" w:type="dxa"/>
        <w:tblLayout w:type="fixed"/>
        <w:tblCellMar>
          <w:top w:w="0" w:type="dxa"/>
          <w:left w:w="0" w:type="dxa"/>
          <w:bottom w:w="0" w:type="dxa"/>
          <w:right w:w="0" w:type="dxa"/>
        </w:tblCellMar>
      </w:tblPr>
      <w:tblGrid>
        <w:gridCol w:w="60"/>
        <w:gridCol w:w="1730"/>
        <w:gridCol w:w="60"/>
      </w:tblGrid>
      <w:tr>
        <w:trPr/>
        <w:tc>
          <w:tcPr>
            <w:tcW w:w="60" w:type="dxa"/>
            <w:tcBorders/>
            <w:vAlign w:val="center"/>
          </w:tcPr>
          <w:p>
            <w:pPr>
              <w:pStyle w:val="TableContents"/>
              <w:bidi w:val="0"/>
              <w:spacing w:before="0" w:after="0"/>
              <w:ind w:left="0" w:right="0" w:hanging="0"/>
              <w:jc w:val="right"/>
              <w:rPr>
                <w:caps w:val="false"/>
                <w:smallCaps w:val="false"/>
              </w:rPr>
            </w:pPr>
            <w:r>
              <w:rPr>
                <w:caps w:val="false"/>
                <w:smallCaps w:val="false"/>
              </w:rPr>
              <w:t> </w:t>
            </w:r>
          </w:p>
        </w:tc>
        <w:tc>
          <w:tcPr>
            <w:tcW w:w="173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32"/>
              </w:rPr>
            </w:pPr>
            <w:r>
              <w:rPr>
                <w:rFonts w:ascii="Times New Roman;Times;serif" w:hAnsi="Times New Roman;Times;serif"/>
                <w:b/>
                <w:sz w:val="32"/>
              </w:rPr>
              <w:t>FORM 10-Q</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 001-13490</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270"/>
        <w:gridCol w:w="1355"/>
      </w:tblGrid>
      <w:tr>
        <w:trPr/>
        <w:tc>
          <w:tcPr>
            <w:tcW w:w="22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76-0210849</w:t>
            </w:r>
          </w:p>
        </w:tc>
      </w:tr>
      <w:tr>
        <w:trPr/>
        <w:tc>
          <w:tcPr>
            <w:tcW w:w="227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Identification No.)</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2002 Timberloch Place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Woodlands, Texas 77380</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 including Zip Code)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(281) 353-4475</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w:t>
      </w:r>
      <w:r>
        <w:rPr>
          <w:rFonts w:ascii="Times New Roman" w:hAnsi="Times New Roman"/>
          <w:caps w:val="false"/>
          <w:smallCaps w:val="false"/>
          <w:sz w:val="16"/>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4085"/>
        <w:gridCol w:w="1370"/>
        <w:gridCol w:w="3140"/>
      </w:tblGrid>
      <w:tr>
        <w:trPr/>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tc>
        <w:tc>
          <w:tcPr>
            <w:tcW w:w="137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Title of each class</w:t>
            </w:r>
          </w:p>
        </w:tc>
        <w:tc>
          <w:tcPr>
            <w:tcW w:w="137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Trading Symbol(s)</w:t>
            </w:r>
          </w:p>
        </w:tc>
        <w:tc>
          <w:tcPr>
            <w:tcW w:w="314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Name of each exchange on which registered</w:t>
            </w:r>
          </w:p>
        </w:tc>
      </w:tr>
      <w:tr>
        <w:trPr/>
        <w:tc>
          <w:tcPr>
            <w:tcW w:w="40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 - $0.01 par value per share</w:t>
            </w:r>
          </w:p>
        </w:tc>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MIND</w:t>
            </w:r>
          </w:p>
        </w:tc>
        <w:tc>
          <w:tcPr>
            <w:tcW w:w="31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80"/>
        <w:ind w:left="0" w:right="0" w:hanging="0"/>
        <w:jc w:val="left"/>
        <w:rPr>
          <w:rFonts w:ascii="Times New Roman;Times;serif" w:hAnsi="Times New Roman;Times;serif"/>
          <w:caps w:val="false"/>
          <w:smallCaps w:val="false"/>
          <w:color w:val="000000"/>
          <w:sz w:val="18"/>
        </w:rPr>
      </w:pPr>
      <w:r>
        <w:rPr>
          <w:rFonts w:ascii="Times New Roman;Times;serif" w:hAnsi="Times New Roman;Times;serif"/>
          <w:caps w:val="false"/>
          <w:smallCaps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8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8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8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 9,089,055 shares of common stock, $0.01 par value, were outstanding as of September 8,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265"/>
        <w:gridCol w:w="230"/>
      </w:tblGrid>
      <w:tr>
        <w:trPr/>
        <w:tc>
          <w:tcPr>
            <w:tcW w:w="10205" w:type="dxa"/>
            <w:gridSpan w:val="3"/>
            <w:tcBorders/>
            <w:vAlign w:val="center"/>
          </w:tcPr>
          <w:p>
            <w:pPr>
              <w:pStyle w:val="TableContents"/>
              <w:bidi w:val="0"/>
              <w:spacing w:before="0" w:after="0"/>
              <w:ind w:left="0" w:right="0" w:hanging="0"/>
              <w:jc w:val="center"/>
              <w:rPr/>
            </w:pPr>
            <w:hyperlink w:anchor="part_1">
              <w:r>
                <w:rPr>
                  <w:rStyle w:val="InternetLink"/>
                  <w:rFonts w:ascii="Times New Roman" w:hAnsi="Times New Roman"/>
                  <w:b/>
                  <w:caps w:val="false"/>
                  <w:smallCaps w:val="false"/>
                  <w:sz w:val="20"/>
                </w:rPr>
                <w:t>PART I. FINANCIAL INFORMATION</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265" w:type="dxa"/>
            <w:tcBorders/>
            <w:vAlign w:val="center"/>
          </w:tcPr>
          <w:p>
            <w:pPr>
              <w:pStyle w:val="TableContents"/>
              <w:bidi w:val="0"/>
              <w:spacing w:before="0" w:after="0"/>
              <w:ind w:left="0" w:right="0" w:hanging="0"/>
              <w:jc w:val="left"/>
              <w:rPr/>
            </w:pPr>
            <w:hyperlink w:anchor="item_1_1">
              <w:r>
                <w:rPr>
                  <w:rStyle w:val="InternetLink"/>
                  <w:rFonts w:ascii="Times New Roman" w:hAnsi="Times New Roman"/>
                  <w:caps w:val="false"/>
                  <w:smallCaps w:val="false"/>
                  <w:sz w:val="20"/>
                </w:rPr>
                <w:t>Financial Statements (Unaudited)</w:t>
              </w:r>
            </w:hyperlink>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balance_sheets">
              <w:r>
                <w:rPr>
                  <w:rStyle w:val="InternetLink"/>
                  <w:rFonts w:ascii="Times New Roman" w:hAnsi="Times New Roman"/>
                  <w:caps w:val="false"/>
                  <w:smallCaps w:val="false"/>
                  <w:sz w:val="20"/>
                </w:rPr>
                <w:t>Condensed Consolidated Balance Sheets as of July 31, 2026 and January 31, 2026</w:t>
              </w:r>
            </w:hyperlink>
          </w:p>
        </w:tc>
        <w:tc>
          <w:tcPr>
            <w:tcW w:w="230" w:type="dxa"/>
            <w:tcBorders/>
            <w:vAlign w:val="center"/>
          </w:tcPr>
          <w:p>
            <w:pPr>
              <w:pStyle w:val="TableContents"/>
              <w:bidi w:val="0"/>
              <w:spacing w:before="0" w:after="0"/>
              <w:ind w:left="0" w:right="0" w:hanging="0"/>
              <w:jc w:val="right"/>
              <w:rPr/>
            </w:pPr>
            <w:hyperlink w:anchor="balance_sheets">
              <w:r>
                <w:rPr>
                  <w:rStyle w:val="InternetLink"/>
                  <w:rFonts w:ascii="Times New Roman" w:hAnsi="Times New Roman"/>
                  <w:caps w:val="false"/>
                  <w:smallCaps w:val="false"/>
                  <w:sz w:val="20"/>
                </w:rPr>
                <w:t>1</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operations">
              <w:r>
                <w:rPr>
                  <w:rStyle w:val="InternetLink"/>
                  <w:rFonts w:ascii="Times New Roman" w:hAnsi="Times New Roman"/>
                  <w:caps w:val="false"/>
                  <w:smallCaps w:val="false"/>
                  <w:sz w:val="20"/>
                </w:rPr>
                <w:t>Condensed Consolidated Statements of Operations for the Three and Six Months Ended July 31, 2026 and 2025</w:t>
              </w:r>
            </w:hyperlink>
          </w:p>
        </w:tc>
        <w:tc>
          <w:tcPr>
            <w:tcW w:w="230" w:type="dxa"/>
            <w:tcBorders/>
            <w:vAlign w:val="center"/>
          </w:tcPr>
          <w:p>
            <w:pPr>
              <w:pStyle w:val="TableContents"/>
              <w:bidi w:val="0"/>
              <w:spacing w:before="0" w:after="0"/>
              <w:ind w:left="0" w:right="0" w:hanging="0"/>
              <w:jc w:val="right"/>
              <w:rPr/>
            </w:pPr>
            <w:hyperlink w:anchor="operations">
              <w:r>
                <w:rPr>
                  <w:rStyle w:val="InternetLink"/>
                  <w:rFonts w:ascii="Times New Roman" w:hAnsi="Times New Roman"/>
                  <w:caps w:val="false"/>
                  <w:smallCaps w:val="false"/>
                  <w:sz w:val="20"/>
                </w:rPr>
                <w:t>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comprehensive_loss">
              <w:r>
                <w:rPr>
                  <w:rStyle w:val="InternetLink"/>
                  <w:rFonts w:ascii="Times New Roman" w:hAnsi="Times New Roman"/>
                  <w:caps w:val="false"/>
                  <w:smallCaps w:val="false"/>
                  <w:sz w:val="20"/>
                </w:rPr>
                <w:t>Condensed Consolidated Statements of Comprehensive (Loss) Income for the Three and Six Months Ended July 31, 2026 and 2025</w:t>
              </w:r>
            </w:hyperlink>
          </w:p>
        </w:tc>
        <w:tc>
          <w:tcPr>
            <w:tcW w:w="230" w:type="dxa"/>
            <w:tcBorders/>
            <w:vAlign w:val="center"/>
          </w:tcPr>
          <w:p>
            <w:pPr>
              <w:pStyle w:val="TableContents"/>
              <w:bidi w:val="0"/>
              <w:spacing w:before="0" w:after="0"/>
              <w:ind w:left="0" w:right="0" w:hanging="0"/>
              <w:jc w:val="right"/>
              <w:rPr/>
            </w:pPr>
            <w:hyperlink w:anchor="comprehensive_loss">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cash_flows">
              <w:r>
                <w:rPr>
                  <w:rStyle w:val="InternetLink"/>
                  <w:rFonts w:ascii="Times New Roman" w:hAnsi="Times New Roman"/>
                  <w:caps w:val="false"/>
                  <w:smallCaps w:val="false"/>
                  <w:sz w:val="20"/>
                </w:rPr>
                <w:t>Condensed Consolidated Statements of Cash Flows for the Six Months Ended July 31, 2026 and 2025</w:t>
              </w:r>
            </w:hyperlink>
          </w:p>
        </w:tc>
        <w:tc>
          <w:tcPr>
            <w:tcW w:w="230" w:type="dxa"/>
            <w:tcBorders/>
            <w:vAlign w:val="center"/>
          </w:tcPr>
          <w:p>
            <w:pPr>
              <w:pStyle w:val="TableContents"/>
              <w:bidi w:val="0"/>
              <w:spacing w:before="0" w:after="0"/>
              <w:ind w:left="0" w:right="0" w:hanging="0"/>
              <w:jc w:val="right"/>
              <w:rPr/>
            </w:pPr>
            <w:hyperlink w:anchor="cash_flows">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stock_equity">
              <w:r>
                <w:rPr>
                  <w:rStyle w:val="InternetLink"/>
                  <w:rFonts w:ascii="Times New Roman" w:hAnsi="Times New Roman"/>
                  <w:caps w:val="false"/>
                  <w:smallCaps w:val="false"/>
                  <w:sz w:val="20"/>
                </w:rPr>
                <w:t>Condensed Consolidated Statements of Stockholders' Equity for the Three and Six Months Ended July 31, 2026 and 2025</w:t>
              </w:r>
            </w:hyperlink>
          </w:p>
        </w:tc>
        <w:tc>
          <w:tcPr>
            <w:tcW w:w="230" w:type="dxa"/>
            <w:tcBorders/>
            <w:vAlign w:val="center"/>
          </w:tcPr>
          <w:p>
            <w:pPr>
              <w:pStyle w:val="TableContents"/>
              <w:bidi w:val="0"/>
              <w:spacing w:before="0" w:after="0"/>
              <w:ind w:left="0" w:right="0" w:hanging="0"/>
              <w:jc w:val="right"/>
              <w:rPr/>
            </w:pPr>
            <w:hyperlink w:anchor="stock_equity">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notes_financial">
              <w:r>
                <w:rPr>
                  <w:rStyle w:val="InternetLink"/>
                  <w:rFonts w:ascii="Times New Roman" w:hAnsi="Times New Roman"/>
                  <w:caps w:val="false"/>
                  <w:smallCaps w:val="false"/>
                  <w:sz w:val="20"/>
                </w:rPr>
                <w:t>Notes to Condensed Consolidated Financial Statements</w:t>
              </w:r>
            </w:hyperlink>
          </w:p>
        </w:tc>
        <w:tc>
          <w:tcPr>
            <w:tcW w:w="230" w:type="dxa"/>
            <w:tcBorders/>
            <w:vAlign w:val="center"/>
          </w:tcPr>
          <w:p>
            <w:pPr>
              <w:pStyle w:val="TableContents"/>
              <w:bidi w:val="0"/>
              <w:spacing w:before="0" w:after="0"/>
              <w:ind w:left="0" w:right="0" w:hanging="0"/>
              <w:jc w:val="right"/>
              <w:rPr/>
            </w:pPr>
            <w:hyperlink w:anchor="notes_financial">
              <w:r>
                <w:rPr>
                  <w:rStyle w:val="InternetLink"/>
                  <w:rFonts w:ascii="Times New Roman" w:hAnsi="Times New Roman"/>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140" w:right="0" w:hanging="0"/>
              <w:jc w:val="left"/>
              <w:rPr/>
            </w:pPr>
            <w:hyperlink w:anchor="cautionary">
              <w:r>
                <w:rPr>
                  <w:rStyle w:val="InternetLink"/>
                  <w:rFonts w:ascii="Times New Roman" w:hAnsi="Times New Roman"/>
                  <w:caps w:val="false"/>
                  <w:smallCaps w:val="false"/>
                  <w:sz w:val="20"/>
                </w:rPr>
                <w:t>Cautionary Statement about Forward-Looking Statements</w:t>
              </w:r>
            </w:hyperlink>
          </w:p>
        </w:tc>
        <w:tc>
          <w:tcPr>
            <w:tcW w:w="230" w:type="dxa"/>
            <w:tcBorders/>
            <w:vAlign w:val="center"/>
          </w:tcPr>
          <w:p>
            <w:pPr>
              <w:pStyle w:val="TableContents"/>
              <w:bidi w:val="0"/>
              <w:spacing w:before="0" w:after="0"/>
              <w:ind w:left="0" w:right="0" w:hanging="0"/>
              <w:jc w:val="right"/>
              <w:rPr/>
            </w:pPr>
            <w:hyperlink w:anchor="cautionary">
              <w:r>
                <w:rPr>
                  <w:rStyle w:val="InternetLink"/>
                  <w:rFonts w:ascii="Times New Roman" w:hAnsi="Times New Roman"/>
                  <w:caps w:val="false"/>
                  <w:smallCaps w:val="false"/>
                  <w:sz w:val="20"/>
                </w:rPr>
                <w:t>15</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265" w:type="dxa"/>
            <w:tcBorders/>
            <w:vAlign w:val="center"/>
          </w:tcPr>
          <w:p>
            <w:pPr>
              <w:pStyle w:val="TableContents"/>
              <w:bidi w:val="0"/>
              <w:spacing w:before="0" w:after="0"/>
              <w:ind w:left="0" w:right="0" w:hanging="0"/>
              <w:jc w:val="left"/>
              <w:rPr/>
            </w:pPr>
            <w:hyperlink w:anchor="item_2_1">
              <w:r>
                <w:rPr>
                  <w:rStyle w:val="InternetLink"/>
                  <w:rFonts w:ascii="Times New Roman" w:hAnsi="Times New Roman"/>
                  <w:caps w:val="false"/>
                  <w:smallCaps w:val="false"/>
                  <w:sz w:val="20"/>
                </w:rPr>
                <w:t>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right"/>
              <w:rPr/>
            </w:pPr>
            <w:hyperlink w:anchor="item_2_1">
              <w:r>
                <w:rPr>
                  <w:rStyle w:val="InternetLink"/>
                  <w:rFonts w:ascii="Times New Roman" w:hAnsi="Times New Roman"/>
                  <w:caps w:val="false"/>
                  <w:smallCaps w:val="false"/>
                  <w:sz w:val="20"/>
                </w:rPr>
                <w:t>16</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265" w:type="dxa"/>
            <w:tcBorders/>
            <w:vAlign w:val="center"/>
          </w:tcPr>
          <w:p>
            <w:pPr>
              <w:pStyle w:val="TableContents"/>
              <w:bidi w:val="0"/>
              <w:spacing w:before="0" w:after="0"/>
              <w:ind w:left="0" w:right="0" w:hanging="0"/>
              <w:jc w:val="left"/>
              <w:rPr/>
            </w:pPr>
            <w:hyperlink w:anchor="item_3_1">
              <w:r>
                <w:rPr>
                  <w:rStyle w:val="InternetLink"/>
                  <w:rFonts w:ascii="Times New Roman" w:hAnsi="Times New Roman"/>
                  <w:caps w:val="false"/>
                  <w:smallCaps w:val="false"/>
                  <w:sz w:val="20"/>
                </w:rPr>
                <w:t>Quantitative and Qualitative Disclosures About Market Risk</w:t>
              </w:r>
            </w:hyperlink>
          </w:p>
        </w:tc>
        <w:tc>
          <w:tcPr>
            <w:tcW w:w="230" w:type="dxa"/>
            <w:tcBorders/>
            <w:vAlign w:val="center"/>
          </w:tcPr>
          <w:p>
            <w:pPr>
              <w:pStyle w:val="TableContents"/>
              <w:bidi w:val="0"/>
              <w:spacing w:before="0" w:after="0"/>
              <w:ind w:left="0" w:right="0" w:hanging="0"/>
              <w:jc w:val="right"/>
              <w:rPr/>
            </w:pPr>
            <w:hyperlink w:anchor="item_3_1">
              <w:r>
                <w:rPr>
                  <w:rStyle w:val="InternetLink"/>
                  <w:rFonts w:ascii="Times New Roman" w:hAnsi="Times New Roman"/>
                  <w:caps w:val="false"/>
                  <w:smallCaps w:val="false"/>
                  <w:sz w:val="20"/>
                </w:rPr>
                <w:t>21</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265" w:type="dxa"/>
            <w:tcBorders/>
            <w:vAlign w:val="center"/>
          </w:tcPr>
          <w:p>
            <w:pPr>
              <w:pStyle w:val="TableContents"/>
              <w:bidi w:val="0"/>
              <w:spacing w:before="0" w:after="0"/>
              <w:ind w:left="0" w:right="0" w:hanging="0"/>
              <w:jc w:val="left"/>
              <w:rPr/>
            </w:pPr>
            <w:hyperlink w:anchor="item_4_1">
              <w:r>
                <w:rPr>
                  <w:rStyle w:val="InternetLink"/>
                  <w:rFonts w:ascii="Times New Roman" w:hAnsi="Times New Roman"/>
                  <w:caps w:val="false"/>
                  <w:smallCaps w:val="false"/>
                  <w:sz w:val="20"/>
                </w:rPr>
                <w:t>Controls and Procedures</w:t>
              </w:r>
            </w:hyperlink>
          </w:p>
        </w:tc>
        <w:tc>
          <w:tcPr>
            <w:tcW w:w="230" w:type="dxa"/>
            <w:tcBorders/>
            <w:vAlign w:val="center"/>
          </w:tcPr>
          <w:p>
            <w:pPr>
              <w:pStyle w:val="TableContents"/>
              <w:bidi w:val="0"/>
              <w:spacing w:before="0" w:after="0"/>
              <w:ind w:left="0" w:right="0" w:hanging="0"/>
              <w:jc w:val="right"/>
              <w:rPr/>
            </w:pPr>
            <w:hyperlink w:anchor="item_4_1">
              <w:r>
                <w:rPr>
                  <w:rStyle w:val="InternetLink"/>
                  <w:rFonts w:ascii="Times New Roman" w:hAnsi="Times New Roman"/>
                  <w:caps w:val="false"/>
                  <w:smallCaps w:val="false"/>
                  <w:sz w:val="20"/>
                </w:rPr>
                <w:t>22</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art_2">
              <w:r>
                <w:rPr>
                  <w:rStyle w:val="InternetLink"/>
                  <w:rFonts w:ascii="Times New Roman" w:hAnsi="Times New Roman"/>
                  <w:b/>
                  <w:caps w:val="false"/>
                  <w:smallCaps w:val="false"/>
                  <w:sz w:val="20"/>
                </w:rPr>
                <w:t>PART II. OTHER INFORMATION</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265" w:type="dxa"/>
            <w:tcBorders/>
            <w:vAlign w:val="center"/>
          </w:tcPr>
          <w:p>
            <w:pPr>
              <w:pStyle w:val="TableContents"/>
              <w:bidi w:val="0"/>
              <w:spacing w:before="0" w:after="0"/>
              <w:ind w:left="0" w:right="0" w:hanging="0"/>
              <w:jc w:val="left"/>
              <w:rPr/>
            </w:pPr>
            <w:hyperlink w:anchor="item_1_2">
              <w:r>
                <w:rPr>
                  <w:rStyle w:val="InternetLink"/>
                  <w:rFonts w:ascii="Times New Roman" w:hAnsi="Times New Roman"/>
                  <w:caps w:val="false"/>
                  <w:smallCaps w:val="false"/>
                  <w:sz w:val="20"/>
                </w:rPr>
                <w:t>Legal Proceedings</w:t>
              </w:r>
            </w:hyperlink>
          </w:p>
        </w:tc>
        <w:tc>
          <w:tcPr>
            <w:tcW w:w="230" w:type="dxa"/>
            <w:tcBorders/>
            <w:vAlign w:val="center"/>
          </w:tcPr>
          <w:p>
            <w:pPr>
              <w:pStyle w:val="TableContents"/>
              <w:bidi w:val="0"/>
              <w:spacing w:before="0" w:after="0"/>
              <w:ind w:left="0" w:right="0" w:hanging="0"/>
              <w:jc w:val="right"/>
              <w:rPr/>
            </w:pPr>
            <w:hyperlink w:anchor="item_1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9265" w:type="dxa"/>
            <w:tcBorders/>
            <w:vAlign w:val="center"/>
          </w:tcPr>
          <w:p>
            <w:pPr>
              <w:pStyle w:val="TableContents"/>
              <w:bidi w:val="0"/>
              <w:spacing w:before="0" w:after="0"/>
              <w:ind w:left="0" w:right="0" w:hanging="0"/>
              <w:jc w:val="left"/>
              <w:rPr/>
            </w:pPr>
            <w:hyperlink w:anchor="item_1A_2">
              <w:r>
                <w:rPr>
                  <w:rStyle w:val="InternetLink"/>
                  <w:rFonts w:ascii="Times New Roman" w:hAnsi="Times New Roman"/>
                  <w:caps w:val="false"/>
                  <w:smallCaps w:val="false"/>
                  <w:sz w:val="20"/>
                </w:rPr>
                <w:t>Risk Factors</w:t>
              </w:r>
            </w:hyperlink>
          </w:p>
        </w:tc>
        <w:tc>
          <w:tcPr>
            <w:tcW w:w="230" w:type="dxa"/>
            <w:tcBorders/>
            <w:vAlign w:val="center"/>
          </w:tcPr>
          <w:p>
            <w:pPr>
              <w:pStyle w:val="TableContents"/>
              <w:bidi w:val="0"/>
              <w:spacing w:before="0" w:after="0"/>
              <w:ind w:left="0" w:right="0" w:hanging="0"/>
              <w:jc w:val="right"/>
              <w:rPr/>
            </w:pPr>
            <w:hyperlink w:anchor="item_1A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265" w:type="dxa"/>
            <w:tcBorders/>
            <w:vAlign w:val="center"/>
          </w:tcPr>
          <w:p>
            <w:pPr>
              <w:pStyle w:val="TableContents"/>
              <w:bidi w:val="0"/>
              <w:spacing w:before="0" w:after="0"/>
              <w:ind w:left="0" w:right="0" w:hanging="0"/>
              <w:jc w:val="left"/>
              <w:rPr/>
            </w:pPr>
            <w:hyperlink w:anchor="item_2_2">
              <w:r>
                <w:rPr>
                  <w:rStyle w:val="InternetLink"/>
                  <w:rFonts w:ascii="Times New Roman" w:hAnsi="Times New Roman"/>
                  <w:caps w:val="false"/>
                  <w:smallCaps w:val="false"/>
                  <w:sz w:val="20"/>
                </w:rPr>
                <w:t>Unregistered Sales of Equity Securities and Use of Proceeds</w:t>
              </w:r>
            </w:hyperlink>
          </w:p>
        </w:tc>
        <w:tc>
          <w:tcPr>
            <w:tcW w:w="230" w:type="dxa"/>
            <w:tcBorders/>
            <w:vAlign w:val="center"/>
          </w:tcPr>
          <w:p>
            <w:pPr>
              <w:pStyle w:val="TableContents"/>
              <w:bidi w:val="0"/>
              <w:spacing w:before="0" w:after="0"/>
              <w:ind w:left="0" w:right="0" w:hanging="0"/>
              <w:jc w:val="right"/>
              <w:rPr/>
            </w:pPr>
            <w:hyperlink w:anchor="item_2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265" w:type="dxa"/>
            <w:tcBorders/>
            <w:vAlign w:val="center"/>
          </w:tcPr>
          <w:p>
            <w:pPr>
              <w:pStyle w:val="TableContents"/>
              <w:bidi w:val="0"/>
              <w:spacing w:before="0" w:after="0"/>
              <w:ind w:left="0" w:right="0" w:hanging="0"/>
              <w:jc w:val="left"/>
              <w:rPr/>
            </w:pPr>
            <w:hyperlink w:anchor="item_3_2">
              <w:r>
                <w:rPr>
                  <w:rStyle w:val="InternetLink"/>
                  <w:rFonts w:ascii="Times New Roman" w:hAnsi="Times New Roman"/>
                  <w:caps w:val="false"/>
                  <w:smallCaps w:val="false"/>
                  <w:sz w:val="20"/>
                </w:rPr>
                <w:t>Defaults Upon Senior Securities</w:t>
              </w:r>
            </w:hyperlink>
          </w:p>
        </w:tc>
        <w:tc>
          <w:tcPr>
            <w:tcW w:w="230" w:type="dxa"/>
            <w:tcBorders/>
            <w:vAlign w:val="center"/>
          </w:tcPr>
          <w:p>
            <w:pPr>
              <w:pStyle w:val="TableContents"/>
              <w:bidi w:val="0"/>
              <w:spacing w:before="0" w:after="0"/>
              <w:ind w:left="0" w:right="0" w:hanging="0"/>
              <w:jc w:val="right"/>
              <w:rPr/>
            </w:pPr>
            <w:hyperlink w:anchor="item_3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265" w:type="dxa"/>
            <w:tcBorders/>
            <w:vAlign w:val="center"/>
          </w:tcPr>
          <w:p>
            <w:pPr>
              <w:pStyle w:val="TableContents"/>
              <w:bidi w:val="0"/>
              <w:spacing w:before="0" w:after="0"/>
              <w:ind w:left="0" w:right="0" w:hanging="0"/>
              <w:jc w:val="left"/>
              <w:rPr/>
            </w:pPr>
            <w:hyperlink w:anchor="item_4_2">
              <w:r>
                <w:rPr>
                  <w:rStyle w:val="InternetLink"/>
                  <w:rFonts w:ascii="Times New Roman" w:hAnsi="Times New Roman"/>
                  <w:caps w:val="false"/>
                  <w:smallCaps w:val="false"/>
                  <w:sz w:val="20"/>
                </w:rPr>
                <w:t>Mine Safety Disclosures</w:t>
              </w:r>
            </w:hyperlink>
          </w:p>
        </w:tc>
        <w:tc>
          <w:tcPr>
            <w:tcW w:w="230" w:type="dxa"/>
            <w:tcBorders/>
            <w:vAlign w:val="center"/>
          </w:tcPr>
          <w:p>
            <w:pPr>
              <w:pStyle w:val="TableContents"/>
              <w:bidi w:val="0"/>
              <w:spacing w:before="0" w:after="0"/>
              <w:ind w:left="0" w:right="0" w:hanging="0"/>
              <w:jc w:val="right"/>
              <w:rPr/>
            </w:pPr>
            <w:hyperlink w:anchor="item_4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265" w:type="dxa"/>
            <w:tcBorders/>
            <w:vAlign w:val="center"/>
          </w:tcPr>
          <w:p>
            <w:pPr>
              <w:pStyle w:val="TableContents"/>
              <w:bidi w:val="0"/>
              <w:spacing w:before="0" w:after="0"/>
              <w:ind w:left="0" w:right="0" w:hanging="0"/>
              <w:jc w:val="left"/>
              <w:rPr/>
            </w:pPr>
            <w:hyperlink w:anchor="item_5_2">
              <w:r>
                <w:rPr>
                  <w:rStyle w:val="InternetLink"/>
                  <w:rFonts w:ascii="Times New Roman" w:hAnsi="Times New Roman"/>
                  <w:caps w:val="false"/>
                  <w:smallCaps w:val="false"/>
                  <w:sz w:val="20"/>
                </w:rPr>
                <w:t>Other Information</w:t>
              </w:r>
            </w:hyperlink>
          </w:p>
        </w:tc>
        <w:tc>
          <w:tcPr>
            <w:tcW w:w="230" w:type="dxa"/>
            <w:tcBorders/>
            <w:vAlign w:val="center"/>
          </w:tcPr>
          <w:p>
            <w:pPr>
              <w:pStyle w:val="TableContents"/>
              <w:bidi w:val="0"/>
              <w:spacing w:before="0" w:after="0"/>
              <w:ind w:left="0" w:right="0" w:hanging="0"/>
              <w:jc w:val="right"/>
              <w:rPr/>
            </w:pPr>
            <w:hyperlink w:anchor="item_5_2">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265" w:type="dxa"/>
            <w:tcBorders/>
            <w:vAlign w:val="center"/>
          </w:tcPr>
          <w:p>
            <w:pPr>
              <w:pStyle w:val="TableContents"/>
              <w:bidi w:val="0"/>
              <w:spacing w:before="0" w:after="0"/>
              <w:ind w:left="0" w:right="0" w:hanging="0"/>
              <w:jc w:val="left"/>
              <w:rPr/>
            </w:pPr>
            <w:hyperlink w:anchor="item_6_2">
              <w:r>
                <w:rPr>
                  <w:rStyle w:val="InternetLink"/>
                  <w:rFonts w:ascii="Times New Roman" w:hAnsi="Times New Roman"/>
                  <w:caps w:val="false"/>
                  <w:smallCaps w:val="false"/>
                  <w:sz w:val="20"/>
                </w:rPr>
                <w:t>Exhibits</w:t>
              </w:r>
            </w:hyperlink>
          </w:p>
        </w:tc>
        <w:tc>
          <w:tcPr>
            <w:tcW w:w="230" w:type="dxa"/>
            <w:tcBorders/>
            <w:vAlign w:val="center"/>
          </w:tcPr>
          <w:p>
            <w:pPr>
              <w:pStyle w:val="TableContents"/>
              <w:bidi w:val="0"/>
              <w:spacing w:before="0" w:after="0"/>
              <w:ind w:left="0" w:right="0" w:hanging="0"/>
              <w:jc w:val="right"/>
              <w:rPr/>
            </w:pPr>
            <w:hyperlink w:anchor="item_6_2">
              <w:r>
                <w:rPr>
                  <w:rStyle w:val="InternetLink"/>
                  <w:rFonts w:ascii="Times New Roman" w:hAnsi="Times New Roman"/>
                  <w:caps w:val="false"/>
                  <w:smallCaps w:val="false"/>
                  <w:sz w:val="20"/>
                </w:rPr>
                <w:t>23</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0" w:right="0" w:hanging="0"/>
              <w:jc w:val="left"/>
              <w:rPr/>
            </w:pPr>
            <w:hyperlink w:anchor="ex_index">
              <w:r>
                <w:rPr>
                  <w:rStyle w:val="InternetLink"/>
                  <w:rFonts w:ascii="Times New Roman" w:hAnsi="Times New Roman"/>
                  <w:caps w:val="false"/>
                  <w:smallCaps w:val="false"/>
                  <w:sz w:val="20"/>
                </w:rPr>
                <w:t>Exhibit Index</w:t>
              </w:r>
            </w:hyperlink>
          </w:p>
        </w:tc>
        <w:tc>
          <w:tcPr>
            <w:tcW w:w="230" w:type="dxa"/>
            <w:tcBorders/>
            <w:vAlign w:val="center"/>
          </w:tcPr>
          <w:p>
            <w:pPr>
              <w:pStyle w:val="TableContents"/>
              <w:bidi w:val="0"/>
              <w:spacing w:before="0" w:after="0"/>
              <w:ind w:left="0" w:right="0" w:hanging="0"/>
              <w:jc w:val="right"/>
              <w:rPr/>
            </w:pPr>
            <w:hyperlink w:anchor="ex_index">
              <w:r>
                <w:rPr>
                  <w:rStyle w:val="InternetLink"/>
                  <w:rFonts w:ascii="Times New Roman" w:hAnsi="Times New Roman"/>
                  <w:caps w:val="false"/>
                  <w:smallCaps w:val="false"/>
                  <w:sz w:val="20"/>
                </w:rPr>
                <w:t>23</w:t>
              </w:r>
            </w:hyperlink>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23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sz w:val="20"/>
        </w:rPr>
        <w:t xml:space="preserve">ii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_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item_1_1"/>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alance_sheets"/>
      <w:bookmarkEnd w:id="5"/>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7"/>
        <w:gridCol w:w="60"/>
        <w:gridCol w:w="149"/>
        <w:gridCol w:w="902"/>
        <w:gridCol w:w="80"/>
        <w:gridCol w:w="60"/>
        <w:gridCol w:w="179"/>
        <w:gridCol w:w="1086"/>
        <w:gridCol w:w="82"/>
      </w:tblGrid>
      <w:tr>
        <w:trPr/>
        <w:tc>
          <w:tcPr>
            <w:tcW w:w="7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 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for credit losses of $332 at each of July 31, 2026 and January 31, 2026</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12,570</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11,150</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44,884</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LIABILITIES AND STOCKHOLDERS’ EQUITY</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Customer deposits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971</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2,656</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126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7,849</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$0.01 par value; 40,000 shares authorized; 9,089 shares issued and outstanding at July 31, 2026 and at January 31, 2026</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2"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148,990</w:t>
            </w:r>
          </w:p>
        </w:tc>
        <w:tc>
          <w:tcPr>
            <w:tcW w:w="82"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(107,698</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07"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gain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41,417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126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accompanying notes are an integral part of these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operations"/>
      <w:bookmarkEnd w:id="6"/>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60"/>
        <w:gridCol w:w="226"/>
        <w:gridCol w:w="987"/>
        <w:gridCol w:w="144"/>
        <w:gridCol w:w="108"/>
        <w:gridCol w:w="226"/>
        <w:gridCol w:w="1069"/>
        <w:gridCol w:w="80"/>
        <w:gridCol w:w="60"/>
        <w:gridCol w:w="207"/>
        <w:gridCol w:w="981"/>
        <w:gridCol w:w="132"/>
        <w:gridCol w:w="99"/>
        <w:gridCol w:w="207"/>
        <w:gridCol w:w="981"/>
        <w:gridCol w:w="88"/>
      </w:tblGrid>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July 31,</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marine technology 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marine technology products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9,107</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2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6,800</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10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8"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8,154</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 income</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per common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used in computing net loss and income per common share:</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omprehensive_loss"/>
      <w:bookmarkEnd w:id="7"/>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694" w:type="dxa"/>
        <w:jc w:val="left"/>
        <w:tblInd w:w="0" w:type="dxa"/>
        <w:tblLayout w:type="fixed"/>
        <w:tblCellMar>
          <w:top w:w="0" w:type="dxa"/>
          <w:left w:w="0" w:type="dxa"/>
          <w:bottom w:w="0" w:type="dxa"/>
          <w:right w:w="0" w:type="dxa"/>
        </w:tblCellMar>
      </w:tblPr>
      <w:tblGrid>
        <w:gridCol w:w="2420"/>
        <w:gridCol w:w="60"/>
        <w:gridCol w:w="275"/>
        <w:gridCol w:w="1199"/>
        <w:gridCol w:w="176"/>
        <w:gridCol w:w="132"/>
        <w:gridCol w:w="275"/>
        <w:gridCol w:w="1067"/>
        <w:gridCol w:w="60"/>
        <w:gridCol w:w="60"/>
        <w:gridCol w:w="286"/>
        <w:gridCol w:w="1250"/>
        <w:gridCol w:w="183"/>
        <w:gridCol w:w="137"/>
        <w:gridCol w:w="286"/>
        <w:gridCol w:w="768"/>
        <w:gridCol w:w="60"/>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7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cash_flows"/>
      <w:bookmarkEnd w:id="8"/>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60"/>
        <w:gridCol w:w="228"/>
        <w:gridCol w:w="1080"/>
        <w:gridCol w:w="145"/>
        <w:gridCol w:w="109"/>
        <w:gridCol w:w="228"/>
        <w:gridCol w:w="998"/>
        <w:gridCol w:w="83"/>
      </w:tblGrid>
      <w:tr>
        <w:trPr/>
        <w:tc>
          <w:tcPr>
            <w:tcW w:w="7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 July 31,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(2,145</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(2,471</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Unbilled revenue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and long-term assets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Income taxes receivable and payable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Deferred revenue and customer deposits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CCEEFF" w:val="clear"/>
            <w:vAlign w:val="center"/>
          </w:tcPr>
          <w:p>
            <w:pPr>
              <w:pStyle w:val="TableContents"/>
              <w:bidi w:val="0"/>
              <w:spacing w:before="0" w:after="0"/>
              <w:ind w:left="144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(3,136</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FFFFFF" w:val="clear"/>
            <w:vAlign w:val="center"/>
          </w:tcPr>
          <w:p>
            <w:pPr>
              <w:pStyle w:val="TableContents"/>
              <w:bidi w:val="0"/>
              <w:spacing w:before="0" w:after="0"/>
              <w:ind w:left="144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7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144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changes in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(3,292</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2,496</w:t>
            </w:r>
          </w:p>
        </w:tc>
        <w:tc>
          <w:tcPr>
            <w:tcW w:w="83" w:type="dxa"/>
            <w:tcBorders/>
            <w:shd w:fill="FFFFFF" w:val="cle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15,758</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27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7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 paid</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 w:name="stock_equity"/>
      <w:bookmarkEnd w:id="9"/>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928" w:type="dxa"/>
        <w:jc w:val="left"/>
        <w:tblInd w:w="0" w:type="dxa"/>
        <w:tblLayout w:type="fixed"/>
        <w:tblCellMar>
          <w:top w:w="0" w:type="dxa"/>
          <w:left w:w="0" w:type="dxa"/>
          <w:bottom w:w="0" w:type="dxa"/>
          <w:right w:w="0" w:type="dxa"/>
        </w:tblCellMar>
      </w:tblPr>
      <w:tblGrid>
        <w:gridCol w:w="2120"/>
        <w:gridCol w:w="60"/>
        <w:gridCol w:w="70"/>
        <w:gridCol w:w="499"/>
        <w:gridCol w:w="70"/>
        <w:gridCol w:w="70"/>
        <w:gridCol w:w="184"/>
        <w:gridCol w:w="436"/>
        <w:gridCol w:w="60"/>
        <w:gridCol w:w="60"/>
        <w:gridCol w:w="102"/>
        <w:gridCol w:w="443"/>
        <w:gridCol w:w="87"/>
        <w:gridCol w:w="87"/>
        <w:gridCol w:w="184"/>
        <w:gridCol w:w="436"/>
        <w:gridCol w:w="60"/>
        <w:gridCol w:w="60"/>
        <w:gridCol w:w="120"/>
        <w:gridCol w:w="665"/>
        <w:gridCol w:w="60"/>
        <w:gridCol w:w="60"/>
        <w:gridCol w:w="206"/>
        <w:gridCol w:w="489"/>
        <w:gridCol w:w="60"/>
        <w:gridCol w:w="60"/>
        <w:gridCol w:w="139"/>
        <w:gridCol w:w="841"/>
        <w:gridCol w:w="80"/>
        <w:gridCol w:w="60"/>
        <w:gridCol w:w="344"/>
        <w:gridCol w:w="816"/>
        <w:gridCol w:w="60"/>
        <w:gridCol w:w="60"/>
        <w:gridCol w:w="110"/>
        <w:gridCol w:w="515"/>
        <w:gridCol w:w="95"/>
      </w:tblGrid>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18"/>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center"/>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January 31,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9,089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148,990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(107,698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41,417</w:t>
            </w:r>
          </w:p>
        </w:tc>
        <w:tc>
          <w:tcPr>
            <w:tcW w:w="9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rStyle w:val="Emphasis"/>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1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April 30, 2026</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9,089</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149,508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(108,109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41,524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rStyle w:val="Emphasis"/>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(1,734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(1,734</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543</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July 31, 2026</w:t>
            </w:r>
          </w:p>
        </w:tc>
        <w:tc>
          <w:tcPr>
            <w:tcW w:w="60" w:type="dxa"/>
            <w:tcBorders/>
            <w:shd w:fill="CCEEFF" w:val="clear"/>
            <w:vAlign w:val="center"/>
          </w:tcPr>
          <w:p>
            <w:pPr>
              <w:pStyle w:val="TableContents"/>
              <w:bidi w:val="0"/>
              <w:spacing w:before="0" w:after="0"/>
              <w:ind w:left="0" w:right="0" w:hanging="0"/>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9,089</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150,051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(109,843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40,333</w:t>
            </w:r>
          </w:p>
        </w:tc>
        <w:tc>
          <w:tcPr>
            <w:tcW w:w="9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886" w:type="dxa"/>
        <w:jc w:val="left"/>
        <w:tblInd w:w="0" w:type="dxa"/>
        <w:tblLayout w:type="fixed"/>
        <w:tblCellMar>
          <w:top w:w="0" w:type="dxa"/>
          <w:left w:w="0" w:type="dxa"/>
          <w:bottom w:w="0" w:type="dxa"/>
          <w:right w:w="0" w:type="dxa"/>
        </w:tblCellMar>
      </w:tblPr>
      <w:tblGrid>
        <w:gridCol w:w="2105"/>
        <w:gridCol w:w="60"/>
        <w:gridCol w:w="70"/>
        <w:gridCol w:w="499"/>
        <w:gridCol w:w="70"/>
        <w:gridCol w:w="70"/>
        <w:gridCol w:w="184"/>
        <w:gridCol w:w="436"/>
        <w:gridCol w:w="60"/>
        <w:gridCol w:w="60"/>
        <w:gridCol w:w="162"/>
        <w:gridCol w:w="383"/>
        <w:gridCol w:w="81"/>
        <w:gridCol w:w="81"/>
        <w:gridCol w:w="184"/>
        <w:gridCol w:w="436"/>
        <w:gridCol w:w="60"/>
        <w:gridCol w:w="60"/>
        <w:gridCol w:w="120"/>
        <w:gridCol w:w="665"/>
        <w:gridCol w:w="60"/>
        <w:gridCol w:w="60"/>
        <w:gridCol w:w="206"/>
        <w:gridCol w:w="489"/>
        <w:gridCol w:w="60"/>
        <w:gridCol w:w="60"/>
        <w:gridCol w:w="139"/>
        <w:gridCol w:w="841"/>
        <w:gridCol w:w="80"/>
        <w:gridCol w:w="60"/>
        <w:gridCol w:w="344"/>
        <w:gridCol w:w="816"/>
        <w:gridCol w:w="60"/>
        <w:gridCol w:w="60"/>
        <w:gridCol w:w="110"/>
        <w:gridCol w:w="515"/>
        <w:gridCol w:w="8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9" w:type="dxa"/>
            <w:gridSpan w:val="2"/>
            <w:tcBorders/>
            <w:shd w:fill="FFFFFF" w:val="clear"/>
            <w:vAlign w:val="center"/>
          </w:tcPr>
          <w:p>
            <w:pPr>
              <w:pStyle w:val="TableContents"/>
              <w:bidi w:val="0"/>
              <w:spacing w:before="0" w:after="283"/>
              <w:jc w:val="right"/>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January 31,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7,969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135,666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(108,448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27,332</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1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April 30, 2025</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7,969</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135,938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(109,418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26,634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1,929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 July 31, 2025</w:t>
            </w:r>
          </w:p>
        </w:tc>
        <w:tc>
          <w:tcPr>
            <w:tcW w:w="60" w:type="dxa"/>
            <w:tcBorders/>
            <w:shd w:fill="CCEEFF" w:val="clear"/>
            <w:vAlign w:val="center"/>
          </w:tcPr>
          <w:p>
            <w:pPr>
              <w:pStyle w:val="TableContents"/>
              <w:bidi w:val="0"/>
              <w:spacing w:before="0" w:after="0"/>
              <w:ind w:left="0" w:right="0" w:hanging="0"/>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7,969</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80</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136,219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(107,489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28,844</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_financial"/>
      <w:bookmarkEnd w:id="10"/>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Liquidity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i/>
          <w:caps w:val="false"/>
          <w:smallCaps w:val="false"/>
          <w:sz w:val="20"/>
        </w:rPr>
        <w:t>Organization</w:t>
      </w:r>
      <w:r>
        <w:rPr>
          <w:rFonts w:ascii="Times New Roman" w:hAnsi="Times New Roman"/>
          <w:caps w:val="false"/>
          <w:smallCaps w:val="false"/>
          <w:sz w:val="20"/>
        </w:rPr>
        <w:t xml:space="preserve">—MIND Technology, Inc., a Delaware corporation (the “Company”), was incorporated in </w:t>
      </w:r>
      <w:r>
        <w:rPr>
          <w:rStyle w:val="Emphasis"/>
          <w:rFonts w:ascii="Times New Roman" w:hAnsi="Times New Roman"/>
          <w:caps w:val="false"/>
          <w:smallCaps w:val="false"/>
          <w:sz w:val="20"/>
        </w:rPr>
        <w:t>1987.</w:t>
      </w:r>
      <w:r>
        <w:rPr>
          <w:rFonts w:ascii="Times New Roman" w:hAnsi="Times New Roman"/>
          <w:caps w:val="false"/>
          <w:smallCaps w:val="false"/>
          <w:sz w:val="20"/>
        </w:rPr>
        <w:t> The Company, through its wholly owned subsidiaries, Seamap Pte Ltd, MIND Maritime Acoustics, LLC, Seamap (Malaysia) Sdn Bhd and Seamap (UK) Ltd, collectively “Seamap”, designs, manufactures and sells a broad range of proprietary products for the seismic, hydrographic and offshore industries with product sales and support facilities based in Singapore, Malaysia, the United Kingdom and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i/>
          <w:caps w:val="false"/>
          <w:smallCaps w:val="false"/>
          <w:sz w:val="20"/>
        </w:rPr>
        <w:t>Liquidity</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the Company had working capital of approximately $36.7 million, including cash and cash equivalents of approximately $15.8 million, compared to working capital of approximately $37.4 million, including cash and cash equivalents of approximately $19.1 million as of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The Company has a trade finance facility with HSBC Singapore for the issuance from time-to-time of letters of credit or bank guarantees for up to $5.0 million. As of </w:t>
      </w:r>
      <w:r>
        <w:rPr>
          <w:rStyle w:val="Emphasis"/>
          <w:rFonts w:ascii="Times New Roman" w:hAnsi="Times New Roman"/>
          <w:caps w:val="false"/>
          <w:smallCaps w:val="false"/>
          <w:sz w:val="20"/>
        </w:rPr>
        <w:t xml:space="preserve">September 9, 2026, </w:t>
      </w:r>
      <w:r>
        <w:rPr>
          <w:rFonts w:ascii="Times New Roman" w:hAnsi="Times New Roman"/>
          <w:caps w:val="false"/>
          <w:smallCaps w:val="false"/>
          <w:sz w:val="20"/>
        </w:rPr>
        <w:t xml:space="preserve">there has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activity associated with the trade facility.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We have recently experienced delays in payments from certain customers, reportedly due to disruptions in their operations and cash flow brought about by the war in Iran.  As of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accounts receivable related to the delayed payments amounted to approximately $12.6 million, of which $1.9 million has been subsequently collected.  The majority of the remaining balance is due from a subsidiary of a major foreign oil company.  We have received periodic installments on this balance and are confident the remaining amounts will be fully collected.  However, this has resulted in a decline in our anticipated cash flows from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believes it will have adequate liquidity to meet its future operating requirements through a combination of cash on hand, cash expected to be generated from operations and disciplined working capital management.</w:t>
      </w:r>
    </w:p>
    <w:p>
      <w:pPr>
        <w:pStyle w:val="TextBody"/>
        <w:bidi w:val="0"/>
        <w:spacing w:before="0" w:after="0"/>
        <w:ind w:left="16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—We describe our significant accounting policies in Note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of the Notes to Consolidated Financial Statements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those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for the Company has been derived from audited consolidated financial statements. The unaudited interim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misleading. These condensed consolidated financial statements should be read in conjunction with the consolidated financial statements and the related notes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In the opinion of the Company’s management, all adjustments, consisting only of normal recurring adjustments, necessary to present fairly the financial position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cash flows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 statement of stockholders’ equity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have been included in these condensed consolidated financial statements. The foregoing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operations to be expected for the full fiscal year ending </w:t>
      </w:r>
      <w:r>
        <w:rPr>
          <w:rStyle w:val="Emphasis"/>
          <w:rFonts w:ascii="Times New Roman" w:hAnsi="Times New Roman"/>
          <w:caps w:val="false"/>
          <w:smallCaps w:val="false"/>
          <w:sz w:val="20"/>
        </w:rPr>
        <w:t>January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2027</w:t>
      </w:r>
      <w:r>
        <w:rPr>
          <w:rFonts w:ascii="Times New Roman" w:hAnsi="Times New Roman"/>
          <w:caps w:val="false"/>
          <w:smallCaps w:val="false"/>
          <w:sz w:val="20"/>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New Accounting Pronouncements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to enhance the disclosures public entities provide regarding specified information about certain costs and expenses at each interim and annual reporting period so that investors can better understand an entity’s overall performance, including its cost structure, and assess potential future cash flows.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the Company for annual periods beginning </w:t>
      </w:r>
      <w:r>
        <w:rPr>
          <w:rStyle w:val="Emphasis"/>
          <w:rFonts w:ascii="Times New Roman" w:hAnsi="Times New Roman"/>
          <w:caps w:val="false"/>
          <w:smallCaps w:val="false"/>
          <w:sz w:val="20"/>
        </w:rPr>
        <w:t>February 1, 2027, </w:t>
      </w:r>
      <w:r>
        <w:rPr>
          <w:rFonts w:ascii="Times New Roman" w:hAnsi="Times New Roman"/>
          <w:caps w:val="false"/>
          <w:smallCaps w:val="false"/>
          <w:sz w:val="20"/>
        </w:rPr>
        <w:t xml:space="preserve">and interim periods within fiscal years beginning </w:t>
      </w:r>
      <w:r>
        <w:rPr>
          <w:rStyle w:val="Emphasis"/>
          <w:rFonts w:ascii="Times New Roman" w:hAnsi="Times New Roman"/>
          <w:caps w:val="false"/>
          <w:smallCaps w:val="false"/>
          <w:sz w:val="20"/>
        </w:rPr>
        <w:t xml:space="preserve">February 1, 2028. </w:t>
      </w:r>
      <w:r>
        <w:rPr>
          <w:rFonts w:ascii="Times New Roman" w:hAnsi="Times New Roman"/>
          <w:caps w:val="false"/>
          <w:smallCaps w:val="false"/>
          <w:sz w:val="20"/>
        </w:rPr>
        <w:t>The Company is evaluating the new guidance to determine the impact it will have on the disclosures to its consolidated financial statements.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Narrow-Scope Improvements. This ASU intends to improve the guidance for interim reporting and clarify when that guidance is applicable.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provides a comprehensive list of required disclosures and also requires entities to disclose events since the last annual reporting period that have a material impact on the entity.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effective for the Company for annual periods beginning </w:t>
      </w:r>
      <w:r>
        <w:rPr>
          <w:rStyle w:val="Emphasis"/>
          <w:rFonts w:ascii="Times New Roman" w:hAnsi="Times New Roman"/>
          <w:caps w:val="false"/>
          <w:smallCaps w:val="false"/>
          <w:sz w:val="20"/>
        </w:rPr>
        <w:t>February 1, 2027, </w:t>
      </w:r>
      <w:r>
        <w:rPr>
          <w:rFonts w:ascii="Times New Roman" w:hAnsi="Times New Roman"/>
          <w:caps w:val="false"/>
          <w:smallCaps w:val="false"/>
          <w:sz w:val="20"/>
        </w:rPr>
        <w:t xml:space="preserve">and interim periods within fiscal years beginning </w:t>
      </w:r>
      <w:r>
        <w:rPr>
          <w:rStyle w:val="Emphasis"/>
          <w:rFonts w:ascii="Times New Roman" w:hAnsi="Times New Roman"/>
          <w:caps w:val="false"/>
          <w:smallCaps w:val="false"/>
          <w:sz w:val="20"/>
        </w:rPr>
        <w:t xml:space="preserve">February 1, 2028. </w:t>
      </w:r>
      <w:r>
        <w:rPr>
          <w:rFonts w:ascii="Times New Roman" w:hAnsi="Times New Roman"/>
          <w:caps w:val="false"/>
          <w:smallCaps w:val="false"/>
          <w:sz w:val="20"/>
        </w:rPr>
        <w:t>The Company is evaluating the new guidance to determine the impact it will have on the disclosures to its consolidated financial statements.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presents revenue from contracts with customers disaggregated by timing of revenue recognition:</w:t>
      </w:r>
    </w:p>
    <w:p>
      <w:pPr>
        <w:pStyle w:val="TextBody"/>
        <w:bidi w:val="0"/>
        <w:spacing w:before="0" w:after="0"/>
        <w:ind w:left="0" w:right="0" w:firstLine="50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800"/>
        <w:gridCol w:w="60"/>
        <w:gridCol w:w="213"/>
        <w:gridCol w:w="827"/>
        <w:gridCol w:w="102"/>
        <w:gridCol w:w="102"/>
        <w:gridCol w:w="213"/>
        <w:gridCol w:w="1006"/>
        <w:gridCol w:w="60"/>
        <w:gridCol w:w="60"/>
        <w:gridCol w:w="181"/>
        <w:gridCol w:w="858"/>
        <w:gridCol w:w="87"/>
        <w:gridCol w:w="87"/>
        <w:gridCol w:w="181"/>
        <w:gridCol w:w="858"/>
        <w:gridCol w:w="6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recognized at a point in time:</w:t>
            </w:r>
          </w:p>
        </w:tc>
        <w:tc>
          <w:tcPr>
            <w:tcW w:w="60" w:type="dxa"/>
            <w:tcBorders/>
            <w:shd w:fill="FFFFFF" w:val="clear"/>
            <w:vAlign w:val="center"/>
          </w:tcPr>
          <w:p>
            <w:pPr>
              <w:pStyle w:val="TableContents"/>
              <w:bidi w:val="0"/>
              <w:spacing w:before="0" w:after="283"/>
              <w:ind w:left="0" w:right="0" w:hanging="0"/>
              <w:jc w:val="left"/>
              <w:rPr/>
            </w:pPr>
            <w:r>
              <w:rPr/>
              <w:t> </w:t>
            </w:r>
          </w:p>
        </w:tc>
        <w:tc>
          <w:tcPr>
            <w:tcW w:w="4835" w:type="dxa"/>
            <w:gridSpan w:val="1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 recognized at a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5,338</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14,394</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recognized over time: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 recognized over time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 from contracts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presents revenue from contracts with customers disaggregated by geography, based on the location of our customers' headquarters:</w:t>
      </w:r>
    </w:p>
    <w:p>
      <w:pPr>
        <w:pStyle w:val="TextBody"/>
        <w:bidi w:val="0"/>
        <w:spacing w:before="0" w:after="0"/>
        <w:ind w:left="0" w:right="0" w:firstLine="50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800"/>
        <w:gridCol w:w="60"/>
        <w:gridCol w:w="213"/>
        <w:gridCol w:w="827"/>
        <w:gridCol w:w="102"/>
        <w:gridCol w:w="102"/>
        <w:gridCol w:w="213"/>
        <w:gridCol w:w="1006"/>
        <w:gridCol w:w="60"/>
        <w:gridCol w:w="60"/>
        <w:gridCol w:w="181"/>
        <w:gridCol w:w="858"/>
        <w:gridCol w:w="87"/>
        <w:gridCol w:w="87"/>
        <w:gridCol w:w="181"/>
        <w:gridCol w:w="858"/>
        <w:gridCol w:w="6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Norway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12,181</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Turkey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Netherlands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 from contracts with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caps w:val="false"/>
          <w:smallCaps w:val="false"/>
          <w:sz w:val="20"/>
        </w:rPr>
      </w:pPr>
      <w:r>
        <w:rPr>
          <w:rFonts w:ascii="Times New Roman" w:hAnsi="Times New Roman"/>
          <w:b/>
          <w:caps w:val="false"/>
          <w:smallCaps w:val="false"/>
          <w:sz w:val="20"/>
        </w:rPr>
        <w:t>Performance Obligations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revenue from products manufactured and sold by our Seamap business is generally recognized at a point in time, or when the customer takes possession of the product, based on the terms and conditions stipulated in our contracts with customers. However, revenue is recognized over time when our Seamap business provides repair and maintenance services, or performs upgrades, on customer-owned equipment, which occurs periodically. In addition, our Seamap business provides annual Software Maintenance Agreements (“SMAs”) to customers who have an active license for software embedded in Seamap products. The revenue from SMAs is recognized over time, with the total value of the SMAs amortized in equal monthly amounts over the life of the contract. The duration of SMAs is typically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elements of variable consideration within these contracts.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July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January 31, 2026, </w:t>
      </w:r>
      <w:r>
        <w:rPr>
          <w:rFonts w:ascii="Times New Roman" w:hAnsi="Times New Roman"/>
          <w:caps w:val="false"/>
          <w:smallCaps w:val="false"/>
          <w:sz w:val="20"/>
        </w:rPr>
        <w:t xml:space="preserve">due to the nature of our contracts and the services and products we provide,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outstanding liability balances for refunds or returns. Our warranties are limited to assurance warranties that are of a standard length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material rights.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revenue from performance obligations satisfied in a prior period.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caps w:val="false"/>
          <w:smallCaps w:val="false"/>
          <w:sz w:val="20"/>
        </w:rPr>
      </w:pPr>
      <w:r>
        <w:rPr>
          <w:rFonts w:ascii="Times New Roman" w:hAnsi="Times New Roman"/>
          <w:b/>
          <w:caps w:val="false"/>
          <w:smallCaps w:val="false"/>
          <w:sz w:val="20"/>
        </w:rPr>
        <w:t>Contract Balances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Prepayments and deferred revenue on SMAs have a significant impact on our contract liabilities. Considering the products manufactured and sold by our Seamap business and the Company’s standard contract terms and conditions, we expect our contract assets and liabilities to turn over, on average, within a three to six-month period.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long-term service contracts or related long-term contract assets or liabilities. Costs to obtain and fulfill contracts are considered immaterial and are expensed during the period when incurred. Contract liabilities decreased by approximately $484,000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due primarily to realization of customer deposits during the current fiscal year.</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contract assets and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113" w:type="dxa"/>
        <w:jc w:val="left"/>
        <w:tblInd w:w="0" w:type="dxa"/>
        <w:tblLayout w:type="fixed"/>
        <w:tblCellMar>
          <w:top w:w="0" w:type="dxa"/>
          <w:left w:w="0" w:type="dxa"/>
          <w:bottom w:w="0" w:type="dxa"/>
          <w:right w:w="0" w:type="dxa"/>
        </w:tblCellMar>
      </w:tblPr>
      <w:tblGrid>
        <w:gridCol w:w="3545"/>
        <w:gridCol w:w="60"/>
        <w:gridCol w:w="234"/>
        <w:gridCol w:w="910"/>
        <w:gridCol w:w="80"/>
        <w:gridCol w:w="60"/>
        <w:gridCol w:w="213"/>
        <w:gridCol w:w="931"/>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Contract Assets, beginning balance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Revenue accrued</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Amounts billed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45"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unbilled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Contract liabilities, beginning balance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1,792</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revenue and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Revenue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(1,646</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45"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deferred revenue &amp;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With respect to the presentation of contract assets and liabilities above, sales and transaction-based taxes are excluded from revenue. Also, we expense costs incurred to obtain contracts because the amortization period would be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These costs are recorded in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Balance Sheet</w:t>
      </w:r>
    </w:p>
    <w:p>
      <w:pPr>
        <w:pStyle w:val="TextBody"/>
        <w:bidi w:val="0"/>
        <w:spacing w:before="0" w:after="0"/>
        <w:ind w:left="0" w:right="0" w:hanging="0"/>
        <w:jc w:val="left"/>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2645"/>
        <w:gridCol w:w="60"/>
        <w:gridCol w:w="200"/>
        <w:gridCol w:w="944"/>
        <w:gridCol w:w="80"/>
        <w:gridCol w:w="60"/>
        <w:gridCol w:w="257"/>
        <w:gridCol w:w="1217"/>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7,722</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Cost of inventories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12,745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Less allowance for obsolescence</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t>Total 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590"/>
        <w:gridCol w:w="60"/>
        <w:gridCol w:w="200"/>
        <w:gridCol w:w="944"/>
        <w:gridCol w:w="80"/>
        <w:gridCol w:w="60"/>
        <w:gridCol w:w="257"/>
        <w:gridCol w:w="1217"/>
        <w:gridCol w:w="8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8,748</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Autos and trucks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Land and buildings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Cost of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10,660</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 </w:t>
            </w:r>
          </w:p>
        </w:tc>
        <w:tc>
          <w:tcPr>
            <w:tcW w:w="12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10,560</w:t>
            </w:r>
          </w:p>
        </w:tc>
        <w:tc>
          <w:tcPr>
            <w:tcW w:w="80" w:type="dxa"/>
            <w:tcBorders/>
            <w:shd w:fill="CCEEFF" w:val="clear"/>
            <w:vAlign w:val="center"/>
          </w:tcPr>
          <w:p>
            <w:pPr>
              <w:pStyle w:val="TableContents"/>
              <w:bidi w:val="0"/>
              <w:spacing w:before="0" w:after="0"/>
              <w:jc w:val="left"/>
              <w:rPr/>
            </w:pPr>
            <w:r>
              <w:rPr/>
              <w:t> </w:t>
            </w:r>
          </w:p>
        </w:tc>
      </w:tr>
      <w:tr>
        <w:trPr/>
        <w:tc>
          <w:tcPr>
            <w:tcW w:w="359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the Company completed an annual review of property and equipment noting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indications that the recorded value of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and no impairment was recorded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Since </w:t>
      </w:r>
      <w:r>
        <w:rPr>
          <w:rStyle w:val="Emphasis"/>
          <w:rFonts w:ascii="Times New Roman" w:hAnsi="Times New Roman"/>
          <w:caps w:val="false"/>
          <w:smallCaps w:val="false"/>
          <w:sz w:val="20"/>
        </w:rPr>
        <w:t xml:space="preserve"> January 31, 2026</w:t>
      </w:r>
      <w:r>
        <w:rPr>
          <w:rFonts w:ascii="Times New Roman" w:hAnsi="Times New Roman"/>
          <w:caps w:val="false"/>
          <w:smallCaps w:val="false"/>
          <w:sz w:val="20"/>
        </w:rPr>
        <w:t xml:space="preserv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market, economic or legal environment in which the Company operates or overall performance of the Company, that would, in the aggregate, indicate additional impairment analysis is necessary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Depreciation expense on property and equipment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was approximately $85,000 and $174,000, respectively. Depreciation expense on property and equipment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July 31, 2025 </w:t>
      </w:r>
      <w:r>
        <w:rPr>
          <w:rFonts w:ascii="Times New Roman" w:hAnsi="Times New Roman"/>
          <w:caps w:val="false"/>
          <w:smallCaps w:val="false"/>
          <w:sz w:val="20"/>
        </w:rPr>
        <w:t>was approximately $72,000 and $148,000,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has certain non-cancelable operating lease agreements for office, production and warehouse space in Texas, Singapore, Malaysia, and the United Kingdom.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Lease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was approximately $234,000 and $469,000, respectively. Lease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2025</w:t>
      </w:r>
      <w:r>
        <w:rPr>
          <w:rFonts w:ascii="Times New Roman" w:hAnsi="Times New Roman"/>
          <w:caps w:val="false"/>
          <w:smallCaps w:val="false"/>
          <w:sz w:val="20"/>
        </w:rPr>
        <w:t>, was approximately $232,000, and $464,000, respectively. Lease exspense is recorded as a component of operating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Supplemental balance sheet information related to leases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was as follows:</w:t>
      </w:r>
    </w:p>
    <w:p>
      <w:pPr>
        <w:pStyle w:val="TextBody"/>
        <w:bidi w:val="0"/>
        <w:spacing w:before="0" w:after="0"/>
        <w:ind w:left="0" w:right="0" w:hanging="0"/>
        <w:jc w:val="left"/>
        <w:rPr>
          <w:caps w:val="false"/>
          <w:smallCaps w:val="false"/>
        </w:rPr>
      </w:pPr>
      <w:r>
        <w:rPr>
          <w:caps w:val="false"/>
          <w:smallCaps w:val="false"/>
        </w:rPr>
        <w:t> </w:t>
      </w:r>
    </w:p>
    <w:tbl>
      <w:tblPr>
        <w:tblW w:w="5563" w:type="dxa"/>
        <w:jc w:val="left"/>
        <w:tblInd w:w="0" w:type="dxa"/>
        <w:tblLayout w:type="fixed"/>
        <w:tblCellMar>
          <w:top w:w="0" w:type="dxa"/>
          <w:left w:w="0" w:type="dxa"/>
          <w:bottom w:w="28" w:type="dxa"/>
          <w:right w:w="0" w:type="dxa"/>
        </w:tblCellMar>
      </w:tblPr>
      <w:tblGrid>
        <w:gridCol w:w="2705"/>
        <w:gridCol w:w="60"/>
        <w:gridCol w:w="311"/>
        <w:gridCol w:w="833"/>
        <w:gridCol w:w="60"/>
        <w:gridCol w:w="60"/>
        <w:gridCol w:w="301"/>
        <w:gridCol w:w="1173"/>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 2026</w:t>
            </w:r>
          </w:p>
        </w:tc>
        <w:tc>
          <w:tcPr>
            <w:tcW w:w="60" w:type="dxa"/>
            <w:tcBorders>
              <w:bottom w:val="single" w:sz="2" w:space="0" w:color="000000"/>
            </w:tcBorders>
            <w:shd w:fill="FFFFFF" w:val="clear"/>
            <w:vAlign w:val="center"/>
          </w:tcPr>
          <w:p>
            <w:pPr>
              <w:pStyle w:val="TableContents"/>
              <w:bidi w:val="0"/>
              <w:spacing w:before="0" w:after="283"/>
              <w:jc w:val="left"/>
              <w:rPr/>
            </w:pPr>
            <w:r>
              <w:rPr>
                <w:rStyle w:val="Emphasis"/>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98" w:type="dxa"/>
            <w:gridSpan w:val="7"/>
            <w:tcBorders/>
            <w:shd w:fill="FFFFFF" w:val="clear"/>
            <w:tcMar>
              <w:bottom w:w="0" w:type="dxa"/>
            </w:tcMar>
            <w:vAlign w:val="center"/>
          </w:tcPr>
          <w:p>
            <w:pPr>
              <w:pStyle w:val="TableContents"/>
              <w:bidi w:val="0"/>
              <w:spacing w:before="0" w:after="0"/>
              <w:jc w:val="center"/>
              <w:rPr/>
            </w:pPr>
            <w:r>
              <w:rPr>
                <w:rStyle w:val="Emphasis"/>
                <w:rFonts w:ascii="Times New Roman" w:hAnsi="Times New Roman"/>
                <w:sz w:val="20"/>
              </w:rPr>
              <w:t>(in thousands)</w:t>
            </w:r>
          </w:p>
        </w:tc>
      </w:tr>
      <w:tr>
        <w:trPr/>
        <w:tc>
          <w:tcPr>
            <w:tcW w:w="2705" w:type="dxa"/>
            <w:tcBorders/>
            <w:shd w:fill="CCEEFF" w:val="clear"/>
            <w:tcMar>
              <w:bottom w:w="0" w:type="dxa"/>
            </w:tcM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60"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60"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27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Classification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60"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2705" w:type="dxa"/>
            <w:tcBorders/>
            <w:shd w:fill="FFFFFF" w:val="clear"/>
            <w:tcMar>
              <w:bottom w:w="0" w:type="dxa"/>
            </w:tcM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60" w:type="dxa"/>
            <w:tcBorders>
              <w:bottom w:val="single" w:sz="2" w:space="0" w:color="000000"/>
            </w:tcBorders>
            <w:shd w:fill="FFFFFF" w:val="clear"/>
            <w:vAlign w:val="center"/>
          </w:tcPr>
          <w:p>
            <w:pPr>
              <w:pStyle w:val="TableContents"/>
              <w:bidi w:val="0"/>
              <w:spacing w:before="0" w:after="283"/>
              <w:jc w:val="left"/>
              <w:rPr/>
            </w:pPr>
            <w:r>
              <w:rPr>
                <w:rStyle w:val="Emphasis"/>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60" w:type="dxa"/>
            <w:tcBorders>
              <w:bottom w:val="double" w:sz="6" w:space="0" w:color="000000"/>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Lease-term and discount rate details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6908" w:type="dxa"/>
        <w:jc w:val="left"/>
        <w:tblInd w:w="0" w:type="dxa"/>
        <w:tblLayout w:type="fixed"/>
        <w:tblCellMar>
          <w:top w:w="0" w:type="dxa"/>
          <w:left w:w="0" w:type="dxa"/>
          <w:bottom w:w="28" w:type="dxa"/>
          <w:right w:w="0" w:type="dxa"/>
        </w:tblCellMar>
      </w:tblPr>
      <w:tblGrid>
        <w:gridCol w:w="3800"/>
        <w:gridCol w:w="60"/>
        <w:gridCol w:w="156"/>
        <w:gridCol w:w="988"/>
        <w:gridCol w:w="185"/>
        <w:gridCol w:w="60"/>
        <w:gridCol w:w="199"/>
        <w:gridCol w:w="1275"/>
        <w:gridCol w:w="185"/>
      </w:tblGrid>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 term and discount rate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 2026</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98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12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98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12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weighted average discount rate was calculated using the Company's weighted average cost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816" w:type="dxa"/>
        <w:jc w:val="left"/>
        <w:tblInd w:w="0" w:type="dxa"/>
        <w:tblLayout w:type="fixed"/>
        <w:tblCellMar>
          <w:top w:w="0" w:type="dxa"/>
          <w:left w:w="0" w:type="dxa"/>
          <w:bottom w:w="0" w:type="dxa"/>
          <w:right w:w="0" w:type="dxa"/>
        </w:tblCellMar>
      </w:tblPr>
      <w:tblGrid>
        <w:gridCol w:w="5765"/>
        <w:gridCol w:w="60"/>
        <w:gridCol w:w="308"/>
        <w:gridCol w:w="975"/>
        <w:gridCol w:w="197"/>
        <w:gridCol w:w="148"/>
        <w:gridCol w:w="308"/>
        <w:gridCol w:w="975"/>
        <w:gridCol w:w="8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w:t>
            </w:r>
          </w:p>
        </w:tc>
        <w:tc>
          <w:tcPr>
            <w:tcW w:w="60"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9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lease balances resulting from new and modified leases: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Maturities of lease liabilities as of </w:t>
      </w:r>
      <w:r>
        <w:rPr>
          <w:rStyle w:val="Emphasis"/>
          <w:rFonts w:ascii="Times New Roman" w:hAnsi="Times New Roman"/>
          <w:caps w:val="false"/>
          <w:smallCaps w:val="false"/>
          <w:sz w:val="20"/>
        </w:rPr>
        <w:t xml:space="preserve"> July 31, 2026</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3200"/>
        <w:gridCol w:w="60"/>
        <w:gridCol w:w="282"/>
        <w:gridCol w:w="892"/>
        <w:gridCol w:w="8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July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payments under lease agreements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Intangible Assets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6"/>
        <w:gridCol w:w="60"/>
        <w:gridCol w:w="204"/>
        <w:gridCol w:w="947"/>
        <w:gridCol w:w="60"/>
        <w:gridCol w:w="60"/>
        <w:gridCol w:w="196"/>
        <w:gridCol w:w="932"/>
        <w:gridCol w:w="60"/>
        <w:gridCol w:w="60"/>
        <w:gridCol w:w="179"/>
        <w:gridCol w:w="936"/>
        <w:gridCol w:w="80"/>
        <w:gridCol w:w="60"/>
        <w:gridCol w:w="204"/>
        <w:gridCol w:w="797"/>
        <w:gridCol w:w="60"/>
        <w:gridCol w:w="60"/>
        <w:gridCol w:w="196"/>
        <w:gridCol w:w="932"/>
        <w:gridCol w:w="60"/>
        <w:gridCol w:w="60"/>
        <w:gridCol w:w="179"/>
        <w:gridCol w:w="936"/>
        <w:gridCol w:w="80"/>
        <w:gridCol w:w="60"/>
        <w:gridCol w:w="204"/>
        <w:gridCol w:w="797"/>
        <w:gridCol w:w="80"/>
      </w:tblGrid>
      <w:tr>
        <w:trPr/>
        <w:tc>
          <w:tcPr>
            <w:tcW w:w="1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July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31, 2026</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1"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Average Life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Carrying</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July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4"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4"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Proprietary rights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w:t>
            </w:r>
          </w:p>
        </w:tc>
        <w:tc>
          <w:tcPr>
            <w:tcW w:w="80" w:type="dxa"/>
            <w:tcBorders/>
            <w:shd w:fill="CCEE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31, 2026</w:t>
      </w:r>
      <w:r>
        <w:rPr>
          <w:rFonts w:ascii="Times New Roman" w:hAnsi="Times New Roman"/>
          <w:caps w:val="false"/>
          <w:smallCaps w:val="false"/>
          <w:sz w:val="20"/>
        </w:rPr>
        <w:t xml:space="preserve">, the Company completed an annual review of amortizable intangible assets. Based on a review of qualitative factors, it was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events or changes in circumstances indicating that the carrying value of amortizable intangible assets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substantive indicators of impairment.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Aggregate amortization expense was approximately $139,000 and $279,000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respectively, and approximately $145,000 and $294,000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 xml:space="preserve">respectively. As of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future estimated amortization expense related to amortizable intangible assets was estimated to be:</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2825"/>
        <w:gridCol w:w="60"/>
        <w:gridCol w:w="125"/>
        <w:gridCol w:w="1190"/>
        <w:gridCol w:w="60"/>
      </w:tblGrid>
      <w:tr>
        <w:trPr/>
        <w:tc>
          <w:tcPr>
            <w:tcW w:w="28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 fiscal years ending January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0"/>
              <w:jc w:val="center"/>
              <w:rPr/>
            </w:pPr>
            <w:r>
              <w:rPr>
                <w:rStyle w:val="Emphasis"/>
                <w:rFonts w:ascii="Times New Roman" w:hAnsi="Times New Roman"/>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our income tax expense was approximately $18,000 and $494,000, respectively, on pre-tax loss of approximately $1.7 million and $1.7 million,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 xml:space="preserve">the income tax expense was approximately $670,000 and $964,000, respectively, on a pre-tax income of approximately $2.6 million and $1.9 million, respectively. The variance between our actual provision and the expected provision when applying the U.S. statutory rate of 21% is due primarily to the impact of income taxes accrued in certain foreign jurisdictions, mainly Singapore, which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net operating losses available to offset taxable income, and because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benefit from tax losses in the U.S. and certain foreign jurisdictions where we have valuation allowances recorded against our deferred tax assets. Valuation allowances have been provided against all deferred tax assets in the United States and certain foreign jurisdictions, including the United Kingdom.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(“OBBBA”) was enacted in the United States. This legislation introduces several measures, including the permanent extension of select provisions from the Tax Cuts and Jobs Act, revisions to the international tax framework, and the reinstatement of favorable tax treatment for certain business-related items. The OBBBA contains multiple effective dates, with key provisions beginning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While we are still assessing the overall impact of the OBBBA,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a material impact on our tax expense.</w:t>
      </w:r>
    </w:p>
    <w:p>
      <w:pPr>
        <w:pStyle w:val="TextBody"/>
        <w:bidi w:val="0"/>
        <w:spacing w:before="0" w:after="0"/>
        <w:ind w:left="16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Company files U.S. federal and state income tax returns as well as separate returns for its foreign subsidiaries within their local jurisdictions. The Company's U.S. federal tax returns are subject to examination by the Internal Revenue Service for fiscal years ended </w:t>
      </w:r>
      <w:r>
        <w:rPr>
          <w:rStyle w:val="Emphasis"/>
          <w:rFonts w:ascii="Times New Roman" w:hAnsi="Times New Roman"/>
          <w:caps w:val="false"/>
          <w:smallCaps w:val="false"/>
          <w:sz w:val="20"/>
        </w:rPr>
        <w:t>January 31, 2022 </w:t>
      </w:r>
      <w:r>
        <w:rPr>
          <w:rFonts w:ascii="Times New Roman" w:hAnsi="Times New Roman"/>
          <w:caps w:val="false"/>
          <w:smallCaps w:val="false"/>
          <w:sz w:val="20"/>
        </w:rPr>
        <w:t xml:space="preserve">through 2026. The Company’s tax returns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subject to examination by state and local tax authorities for fiscal years ending </w:t>
      </w:r>
      <w:r>
        <w:rPr>
          <w:rStyle w:val="Emphasis"/>
          <w:rFonts w:ascii="Times New Roman" w:hAnsi="Times New Roman"/>
          <w:caps w:val="false"/>
          <w:smallCaps w:val="false"/>
          <w:sz w:val="20"/>
        </w:rPr>
        <w:t xml:space="preserve"> January 31, 2021 </w:t>
      </w:r>
      <w:r>
        <w:rPr>
          <w:rFonts w:ascii="Times New Roman" w:hAnsi="Times New Roman"/>
          <w:caps w:val="false"/>
          <w:smallCaps w:val="false"/>
          <w:sz w:val="20"/>
        </w:rPr>
        <w:t xml:space="preserve">through 2026. The Company's Singapore income tax returns are subject to examination by the Singapore tax authorities for the fiscal years ended </w:t>
      </w:r>
      <w:r>
        <w:rPr>
          <w:rStyle w:val="Emphasis"/>
          <w:rFonts w:ascii="Times New Roman" w:hAnsi="Times New Roman"/>
          <w:caps w:val="false"/>
          <w:smallCaps w:val="false"/>
          <w:sz w:val="20"/>
        </w:rPr>
        <w:t xml:space="preserve">January 31, 2018, </w:t>
      </w:r>
      <w:r>
        <w:rPr>
          <w:rFonts w:ascii="Times New Roman" w:hAnsi="Times New Roman"/>
          <w:caps w:val="false"/>
          <w:smallCaps w:val="false"/>
          <w:sz w:val="20"/>
        </w:rPr>
        <w:t xml:space="preserve">through 2026. The Company’s tax returns in other foreign jurisdictions are generally subject to examination for the fiscal years ended </w:t>
      </w:r>
      <w:r>
        <w:rPr>
          <w:rStyle w:val="Emphasis"/>
          <w:rFonts w:ascii="Times New Roman" w:hAnsi="Times New Roman"/>
          <w:caps w:val="false"/>
          <w:smallCaps w:val="false"/>
          <w:sz w:val="20"/>
        </w:rPr>
        <w:t>January 31, 2019 </w:t>
      </w:r>
      <w:r>
        <w:rPr>
          <w:rFonts w:ascii="Times New Roman" w:hAnsi="Times New Roman"/>
          <w:caps w:val="false"/>
          <w:smallCaps w:val="false"/>
          <w:sz w:val="20"/>
        </w:rPr>
        <w:t>through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Company has determined that the undistributed earnings of foreign subsidiaries are not deemed to be indefinitely reinvested outside of the United States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Furthermore, the Company has concluded that any deferred taxes with respect to the undistributed foreign earnings would be immaterial. Therefore,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 deferred tax liability associated with the undistributed foreign earnings as of </w:t>
      </w:r>
      <w:r>
        <w:rPr>
          <w:rStyle w:val="Emphasis"/>
          <w:rFonts w:ascii="Times New Roman" w:hAnsi="Times New Roman"/>
          <w:caps w:val="false"/>
          <w:smallCaps w:val="false"/>
          <w:sz w:val="20"/>
        </w:rPr>
        <w:t>July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did not recognize any tax expense or benefit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Net income per basic common share is computed using the weighted average number of common shares outstanding during the period, excluding unvested restricted stock. Net income per diluted common share is computed using the weighted average number of common shares and dilutive potential common shares outstanding during the period using the treasury stock method. Potential common shares result from the assumed exercise of outstanding common stock options having a dilutive effect and from the assumed vesting of unvested shares of restricted stock.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July 31, 2025</w:t>
      </w:r>
      <w:r>
        <w:rPr>
          <w:rFonts w:ascii="Times New Roman" w:hAnsi="Times New Roman"/>
          <w:caps w:val="false"/>
          <w:smallCaps w:val="false"/>
          <w:sz w:val="20"/>
        </w:rPr>
        <w:t xml:space="preserve">, dilutive potential common shares outstanding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the calculation of earnings per share. The total basic weighted average common shares outstanding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July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July 31, 2025</w:t>
      </w:r>
      <w:r>
        <w:rPr>
          <w:rFonts w:ascii="Times New Roman" w:hAnsi="Times New Roman"/>
          <w:caps w:val="false"/>
          <w:smallCaps w:val="false"/>
          <w:sz w:val="20"/>
        </w:rPr>
        <w:t>, was approximately 9.1 million and 8.0 million shares,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28, 2025, </w:t>
      </w:r>
      <w:r>
        <w:rPr>
          <w:rFonts w:ascii="Times New Roman" w:hAnsi="Times New Roman"/>
          <w:caps w:val="false"/>
          <w:smallCaps w:val="false"/>
          <w:sz w:val="20"/>
        </w:rPr>
        <w:t xml:space="preserve">the Company entered into an equity distribution agreement (the “Sales Agreement”) with Lucid Capital Markets, LLC (“Lucid”),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up to $25.0 million of shares of the Company’s common stock, par value $0.01 per share, through an at-the-market (“ATM”) offering program administered by Lucid. Under the Sales Agreement, Lucid is entitled to compensation of up to 2% of the gross proceeds from the sale of Shares (the "Shares") under the ATM offering program.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sell any of the Shares under the Sales Agreement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suspend solicitations and offers under the Sales Agreement at any time.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the Company did not have any activity related to the Sales Agreement.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Related Party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the Company retained Lucid to provide advisor and arrangement services (the "Services Agreement") for investigation and analysis of opportunities for growth and additional scale.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Lucid received $100,000 in retainer fees for such potential services. The Vice Chairman of Lucid is the Non-Executive Chairman of the Company's board of directors (the "Board"). Our Non-Executive Chairman of the Board received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portion of the above-mentioned compensation.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activity related to the Sales Agreement or the Services Agreement and no compensation related to either agreement was received by Lucid.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Equity and Stock-Based Compensation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Total compensation expense recognized for stock-based awards granted under the Company’s equity incentive plan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was approximately $518,000 and $1.1 million, respectively,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July 31, 2025, </w:t>
      </w:r>
      <w:r>
        <w:rPr>
          <w:rFonts w:ascii="Times New Roman" w:hAnsi="Times New Roman"/>
          <w:caps w:val="false"/>
          <w:smallCaps w:val="false"/>
          <w:sz w:val="20"/>
        </w:rPr>
        <w:t>was approximately $281,000 and $553,000,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Seamap is the Company’s sole reportable segment and contains the following product and service lines:</w:t>
      </w:r>
    </w:p>
    <w:p>
      <w:pPr>
        <w:pStyle w:val="TextBody"/>
        <w:bidi w:val="0"/>
        <w:spacing w:before="0" w:after="0"/>
        <w:ind w:left="0" w:right="0" w:firstLine="54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1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GunLink seismic source acquisition and control systems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BuoyLink relative global navigation satellite positioning systems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SeaLink marine sensors and solid streamer systems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Seamap segment provides services and products, including engineering, repairs and software licensing, utilized in marine exploration, marine survey and maritime security for marine survey companies, seismic survey contractors, research institutes, non-military government organizations and operators of port facilities and other offshore installations.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chief operating decision maker ("CODM") is our chief executive officer. Our CODM analyzes segment performance using revenue and operating income. Inter-company revenue and expenses have been eliminated in the reported revenue and operating income. Our CODM considers revenue and operating income in the annual budgeting and forecasting process and analyzes these on a periodic basis when making determinations on the allocation of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Financial information by business segment is set forth below net of any allocations (in thousands):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4"/>
        <w:gridCol w:w="60"/>
        <w:gridCol w:w="139"/>
        <w:gridCol w:w="541"/>
        <w:gridCol w:w="80"/>
        <w:gridCol w:w="60"/>
        <w:gridCol w:w="280"/>
        <w:gridCol w:w="1227"/>
        <w:gridCol w:w="80"/>
        <w:gridCol w:w="60"/>
        <w:gridCol w:w="210"/>
        <w:gridCol w:w="920"/>
        <w:gridCol w:w="80"/>
        <w:gridCol w:w="60"/>
        <w:gridCol w:w="125"/>
        <w:gridCol w:w="590"/>
        <w:gridCol w:w="60"/>
        <w:gridCol w:w="60"/>
        <w:gridCol w:w="280"/>
        <w:gridCol w:w="1227"/>
        <w:gridCol w:w="80"/>
        <w:gridCol w:w="60"/>
        <w:gridCol w:w="197"/>
        <w:gridCol w:w="933"/>
        <w:gridCol w:w="62"/>
      </w:tblGrid>
      <w:tr>
        <w:trPr/>
        <w:tc>
          <w:tcPr>
            <w:tcW w:w="2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49"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July 31,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Seamap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Expenses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Seamap</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Expenses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62" w:type="dxa"/>
            <w:tcBorders/>
            <w:shd w:fill="CCEEFF" w:val="clear"/>
            <w:vAlign w:val="center"/>
          </w:tcPr>
          <w:p>
            <w:pPr>
              <w:pStyle w:val="TableContents"/>
              <w:bidi w:val="0"/>
              <w:spacing w:before="0" w:after="283"/>
              <w:jc w:val="left"/>
              <w:rPr/>
            </w:pPr>
            <w:r>
              <w:rPr/>
              <w:t> </w:t>
            </w:r>
          </w:p>
        </w:tc>
      </w:tr>
      <w:tr>
        <w:trPr/>
        <w:tc>
          <w:tcPr>
            <w:tcW w:w="2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6,732</w:t>
            </w:r>
          </w:p>
        </w:tc>
        <w:tc>
          <w:tcPr>
            <w:tcW w:w="62" w:type="dxa"/>
            <w:tcBorders/>
            <w:shd w:fill="FFFFFF" w:val="clear"/>
            <w:vAlign w:val="center"/>
          </w:tcPr>
          <w:p>
            <w:pPr>
              <w:pStyle w:val="TableContents"/>
              <w:bidi w:val="0"/>
              <w:spacing w:before="0" w:after="283"/>
              <w:jc w:val="left"/>
              <w:rPr/>
            </w:pPr>
            <w:r>
              <w:rPr/>
              <w:t> </w:t>
            </w:r>
          </w:p>
        </w:tc>
      </w:tr>
      <w:tr>
        <w:trPr/>
        <w:tc>
          <w:tcPr>
            <w:tcW w:w="2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w:t>
            </w:r>
          </w:p>
        </w:tc>
        <w:tc>
          <w:tcPr>
            <w:tcW w:w="62" w:type="dxa"/>
            <w:tcBorders/>
            <w:shd w:fill="CCEEFF" w:val="clear"/>
            <w:vAlign w:val="center"/>
          </w:tcPr>
          <w:p>
            <w:pPr>
              <w:pStyle w:val="TableContents"/>
              <w:bidi w:val="0"/>
              <w:spacing w:before="0" w:after="283"/>
              <w:jc w:val="left"/>
              <w:rPr/>
            </w:pPr>
            <w:r>
              <w:rPr/>
              <w:t> </w:t>
            </w:r>
          </w:p>
        </w:tc>
      </w:tr>
      <w:tr>
        <w:trPr/>
        <w:tc>
          <w:tcPr>
            <w:tcW w:w="2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2" w:type="dxa"/>
            <w:tcBorders/>
            <w:shd w:fill="FFFFFF" w:val="clear"/>
            <w:vAlign w:val="center"/>
          </w:tcPr>
          <w:p>
            <w:pPr>
              <w:pStyle w:val="TableContents"/>
              <w:bidi w:val="0"/>
              <w:spacing w:before="0" w:after="283"/>
              <w:jc w:val="left"/>
              <w:rPr/>
            </w:pPr>
            <w:r>
              <w:rPr/>
              <w:t> </w:t>
            </w:r>
          </w:p>
        </w:tc>
      </w:tr>
      <w:tr>
        <w:trPr/>
        <w:tc>
          <w:tcPr>
            <w:tcW w:w="2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 income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62" w:type="dxa"/>
            <w:tcBorders/>
            <w:shd w:fill="FFFFFF" w:val="clear"/>
            <w:vAlign w:val="center"/>
          </w:tcPr>
          <w:p>
            <w:pPr>
              <w:pStyle w:val="TableContents"/>
              <w:bidi w:val="0"/>
              <w:spacing w:before="0" w:after="283"/>
              <w:jc w:val="left"/>
              <w:rPr/>
            </w:pPr>
            <w:r>
              <w:rPr/>
              <w:t> </w:t>
            </w:r>
          </w:p>
        </w:tc>
      </w:tr>
      <w:tr>
        <w:trPr/>
        <w:tc>
          <w:tcPr>
            <w:tcW w:w="2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5"/>
        <w:gridCol w:w="60"/>
        <w:gridCol w:w="125"/>
        <w:gridCol w:w="590"/>
        <w:gridCol w:w="60"/>
        <w:gridCol w:w="60"/>
        <w:gridCol w:w="279"/>
        <w:gridCol w:w="1224"/>
        <w:gridCol w:w="80"/>
        <w:gridCol w:w="60"/>
        <w:gridCol w:w="197"/>
        <w:gridCol w:w="933"/>
        <w:gridCol w:w="80"/>
        <w:gridCol w:w="60"/>
        <w:gridCol w:w="125"/>
        <w:gridCol w:w="590"/>
        <w:gridCol w:w="60"/>
        <w:gridCol w:w="60"/>
        <w:gridCol w:w="279"/>
        <w:gridCol w:w="1224"/>
        <w:gridCol w:w="80"/>
        <w:gridCol w:w="60"/>
        <w:gridCol w:w="197"/>
        <w:gridCol w:w="933"/>
        <w:gridCol w:w="64"/>
      </w:tblGrid>
      <w:tr>
        <w:trPr/>
        <w:tc>
          <w:tcPr>
            <w:tcW w:w="2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5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July 31,</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Seamap</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Expenses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Seamap</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Expenses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64"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w:t>
            </w:r>
          </w:p>
        </w:tc>
        <w:tc>
          <w:tcPr>
            <w:tcW w:w="64"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p>
        </w:tc>
        <w:tc>
          <w:tcPr>
            <w:tcW w:w="64" w:type="dxa"/>
            <w:tcBorders/>
            <w:shd w:fill="CCEEFF" w:val="cle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64"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64" w:type="dxa"/>
            <w:tcBorders/>
            <w:shd w:fill="FFFFFF" w:val="cle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Corporate selling, general and administrative expense primarily includes salary and benefit costs of corporate personnel, directors’ fees, professional services, office rent, and insurance premiums.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operating income (loss) to income (loss) before income taxes (in thousands):</w:t>
      </w:r>
    </w:p>
    <w:p>
      <w:pPr>
        <w:pStyle w:val="TextBody"/>
        <w:bidi w:val="0"/>
        <w:spacing w:before="0" w:after="0"/>
        <w:ind w:left="0" w:right="0" w:firstLine="540"/>
        <w:jc w:val="left"/>
        <w:rPr>
          <w:caps w:val="false"/>
          <w:smallCaps w:val="false"/>
        </w:rPr>
      </w:pPr>
      <w:r>
        <w:rPr>
          <w:caps w:val="false"/>
          <w:smallCaps w:val="false"/>
        </w:rPr>
        <w:t> </w:t>
      </w:r>
    </w:p>
    <w:tbl>
      <w:tblPr>
        <w:tblW w:w="7761" w:type="dxa"/>
        <w:jc w:val="left"/>
        <w:tblInd w:w="0" w:type="dxa"/>
        <w:tblLayout w:type="fixed"/>
        <w:tblCellMar>
          <w:top w:w="0" w:type="dxa"/>
          <w:left w:w="0" w:type="dxa"/>
          <w:bottom w:w="0" w:type="dxa"/>
          <w:right w:w="0" w:type="dxa"/>
        </w:tblCellMar>
      </w:tblPr>
      <w:tblGrid>
        <w:gridCol w:w="2765"/>
        <w:gridCol w:w="60"/>
        <w:gridCol w:w="109"/>
        <w:gridCol w:w="995"/>
        <w:gridCol w:w="146"/>
        <w:gridCol w:w="109"/>
        <w:gridCol w:w="109"/>
        <w:gridCol w:w="995"/>
        <w:gridCol w:w="80"/>
        <w:gridCol w:w="60"/>
        <w:gridCol w:w="100"/>
        <w:gridCol w:w="910"/>
        <w:gridCol w:w="133"/>
        <w:gridCol w:w="100"/>
        <w:gridCol w:w="100"/>
        <w:gridCol w:w="910"/>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Seamap</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(3,884</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 income</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Total assets by business segment is set forth below (in thousands):</w:t>
      </w:r>
    </w:p>
    <w:p>
      <w:pPr>
        <w:pStyle w:val="TextBody"/>
        <w:bidi w:val="0"/>
        <w:spacing w:before="0" w:after="0"/>
        <w:ind w:left="0" w:right="0" w:firstLine="54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010"/>
        <w:gridCol w:w="60"/>
        <w:gridCol w:w="125"/>
        <w:gridCol w:w="590"/>
        <w:gridCol w:w="60"/>
        <w:gridCol w:w="60"/>
        <w:gridCol w:w="125"/>
        <w:gridCol w:w="590"/>
        <w:gridCol w:w="60"/>
      </w:tblGrid>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July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Seamap</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31,353</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Depreciation and Amortization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Depreciation expense on property and equipment, reflected in the table above, was approximately $85,000 and $174,000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respectively and approximately $72,000 and $148,000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July 31, 2025, </w:t>
      </w:r>
      <w:r>
        <w:rPr>
          <w:rFonts w:ascii="Times New Roman" w:hAnsi="Times New Roman"/>
          <w:caps w:val="false"/>
          <w:smallCaps w:val="false"/>
          <w:sz w:val="20"/>
        </w:rPr>
        <w:t xml:space="preserve">respectively. Amortization expense primarily relating to intangible assets, reflected in the table above was approximately $139,000 and $279,000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respectively, and approximately $145,000 and $294,000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Essentially all depreciation and amortization expense relates to the Seamap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property and equipment is allocated to the Seamap segment. Corporate assets primarily consist of cash, right of use assets for an operating lease, and prepaid corporate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Geographic Operating Areas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Revenue is based on the location of our customers. See Note </w:t>
      </w:r>
      <w:r>
        <w:rPr>
          <w:rStyle w:val="Emphasis"/>
          <w:rFonts w:ascii="Times New Roman" w:hAnsi="Times New Roman"/>
          <w:caps w:val="false"/>
          <w:smallCaps w:val="false"/>
          <w:sz w:val="20"/>
        </w:rPr>
        <w:t>4</w:t>
      </w:r>
      <w:r>
        <w:rPr>
          <w:rFonts w:ascii="Times New Roman" w:hAnsi="Times New Roman"/>
          <w:caps w:val="false"/>
          <w:smallCaps w:val="false"/>
          <w:sz w:val="20"/>
        </w:rPr>
        <w:t>-"Revenue from Contracts with Customers" for disclosure of 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i/>
          <w:caps w:val="false"/>
          <w:smallCaps w:val="false"/>
          <w:sz w:val="20"/>
        </w:rPr>
      </w:pPr>
      <w:bookmarkStart w:id="11" w:name="cautionary"/>
      <w:bookmarkEnd w:id="11"/>
      <w:r>
        <w:rPr>
          <w:rFonts w:ascii="Times New Roman" w:hAnsi="Times New Roman"/>
          <w:b/>
          <w:i/>
          <w:caps w:val="false"/>
          <w:smallCaps w:val="false"/>
          <w:sz w:val="20"/>
        </w:rPr>
        <w:t>CAUTIONARY STATEMENT ABOUT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Quarterly Report on Form 10-Q (this “Form 10-Q”) may constitute “forward-looking statements” within the meaning of the Private Securities Litigation Reform Act of 1995. All statements contained in this Form 10-Q other than statements of historical fact, including statements regarding our future results of operations and financial position, our business strategy and plans, and our objectives for future operations, are forward-looking statements. The words “believe,” “expect,” “may,” “will,” “anticipate,” “plan,” “intend,” “foresee,” “should,” “would,” “could” or other similar expressions are intended to identify forward-looking statements, which are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associated with our manufacturing operations including availability and reliability of materials and components as well the reliability of the products that we manufacture and sell;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significant customers;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disruptions in global supply chains due to various factors, including certain components and materials becoming unavailable, increased lead times for components and materials, as well as increased costs for such items;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demands from suppliers for advance payments could increase our need for working capital; inability to access such working capital could impede our ability to complete orders;</w:t>
            </w:r>
          </w:p>
        </w:tc>
      </w:tr>
    </w:tbl>
    <w:tbl>
      <w:tblPr>
        <w:tblW w:w="2050" w:type="dxa"/>
        <w:jc w:val="left"/>
        <w:tblInd w:w="0" w:type="dxa"/>
        <w:tblLayout w:type="fixed"/>
        <w:tblCellMar>
          <w:top w:w="0" w:type="dxa"/>
          <w:left w:w="0" w:type="dxa"/>
          <w:bottom w:w="0" w:type="dxa"/>
          <w:right w:w="0" w:type="dxa"/>
        </w:tblCellMar>
      </w:tblPr>
      <w:tblGrid>
        <w:gridCol w:w="60"/>
        <w:gridCol w:w="110"/>
        <w:gridCol w:w="1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competition;</w:t>
            </w:r>
          </w:p>
        </w:tc>
      </w:tr>
    </w:tbl>
    <w:tbl>
      <w:tblPr>
        <w:tblW w:w="1900" w:type="dxa"/>
        <w:jc w:val="left"/>
        <w:tblInd w:w="0" w:type="dxa"/>
        <w:tblLayout w:type="fixed"/>
        <w:tblCellMar>
          <w:top w:w="0" w:type="dxa"/>
          <w:left w:w="0" w:type="dxa"/>
          <w:bottom w:w="0" w:type="dxa"/>
          <w:right w:w="0" w:type="dxa"/>
        </w:tblCellMar>
      </w:tblPr>
      <w:tblGrid>
        <w:gridCol w:w="60"/>
        <w:gridCol w:w="110"/>
        <w:gridCol w:w="1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key suppliers;</w:t>
            </w:r>
          </w:p>
        </w:tc>
      </w:tr>
    </w:tbl>
    <w:tbl>
      <w:tblPr>
        <w:tblW w:w="3760" w:type="dxa"/>
        <w:jc w:val="left"/>
        <w:tblInd w:w="0" w:type="dxa"/>
        <w:tblLayout w:type="fixed"/>
        <w:tblCellMar>
          <w:top w:w="0" w:type="dxa"/>
          <w:left w:w="0" w:type="dxa"/>
          <w:bottom w:w="0" w:type="dxa"/>
          <w:right w:w="0" w:type="dxa"/>
        </w:tblCellMar>
      </w:tblPr>
      <w:tblGrid>
        <w:gridCol w:w="60"/>
        <w:gridCol w:w="110"/>
        <w:gridCol w:w="35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intellectual property claims by third parties;</w:t>
            </w:r>
          </w:p>
        </w:tc>
      </w:tr>
    </w:tbl>
    <w:tbl>
      <w:tblPr>
        <w:tblW w:w="8170" w:type="dxa"/>
        <w:jc w:val="left"/>
        <w:tblInd w:w="0" w:type="dxa"/>
        <w:tblLayout w:type="fixed"/>
        <w:tblCellMar>
          <w:top w:w="0" w:type="dxa"/>
          <w:left w:w="0" w:type="dxa"/>
          <w:bottom w:w="0" w:type="dxa"/>
          <w:right w:w="0" w:type="dxa"/>
        </w:tblCellMar>
      </w:tblPr>
      <w:tblGrid>
        <w:gridCol w:w="60"/>
        <w:gridCol w:w="110"/>
        <w:gridCol w:w="8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uncertainty in financial markets on our customers’ and our ability to obtain financing;</w:t>
            </w:r>
          </w:p>
        </w:tc>
      </w:tr>
    </w:tbl>
    <w:tbl>
      <w:tblPr>
        <w:tblW w:w="6340" w:type="dxa"/>
        <w:jc w:val="left"/>
        <w:tblInd w:w="0" w:type="dxa"/>
        <w:tblLayout w:type="fixed"/>
        <w:tblCellMar>
          <w:top w:w="0" w:type="dxa"/>
          <w:left w:w="0" w:type="dxa"/>
          <w:bottom w:w="0" w:type="dxa"/>
          <w:right w:w="0" w:type="dxa"/>
        </w:tblCellMar>
      </w:tblPr>
      <w:tblGrid>
        <w:gridCol w:w="60"/>
        <w:gridCol w:w="110"/>
        <w:gridCol w:w="6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successfully execute strategic initiatives to grow our business;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uncertainties regarding our foreign operations, including political, economic, currency, environmental regulation and export compliance risks;</w:t>
            </w:r>
          </w:p>
        </w:tc>
      </w:tr>
    </w:tbl>
    <w:tbl>
      <w:tblPr>
        <w:tblW w:w="6520" w:type="dxa"/>
        <w:jc w:val="left"/>
        <w:tblInd w:w="0" w:type="dxa"/>
        <w:tblLayout w:type="fixed"/>
        <w:tblCellMar>
          <w:top w:w="0" w:type="dxa"/>
          <w:left w:w="0" w:type="dxa"/>
          <w:bottom w:w="0" w:type="dxa"/>
          <w:right w:w="0" w:type="dxa"/>
        </w:tblCellMar>
      </w:tblPr>
      <w:tblGrid>
        <w:gridCol w:w="60"/>
        <w:gridCol w:w="110"/>
        <w:gridCol w:w="6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due to circumstances beyond our control or that of our customers;</w:t>
            </w:r>
          </w:p>
        </w:tc>
      </w:tr>
    </w:tbl>
    <w:tbl>
      <w:tblPr>
        <w:tblW w:w="3775" w:type="dxa"/>
        <w:jc w:val="left"/>
        <w:tblInd w:w="0" w:type="dxa"/>
        <w:tblLayout w:type="fixed"/>
        <w:tblCellMar>
          <w:top w:w="0" w:type="dxa"/>
          <w:left w:w="0" w:type="dxa"/>
          <w:bottom w:w="0" w:type="dxa"/>
          <w:right w:w="0" w:type="dxa"/>
        </w:tblCellMar>
      </w:tblPr>
      <w:tblGrid>
        <w:gridCol w:w="60"/>
        <w:gridCol w:w="110"/>
        <w:gridCol w:w="36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defaults by customers on amounts due to us;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possible impairment of our long-lived assets due to technological obsolescence or changes in anticipated cash flow generated from those assets;</w:t>
            </w:r>
          </w:p>
        </w:tc>
      </w:tr>
    </w:tbl>
    <w:tbl>
      <w:tblPr>
        <w:tblW w:w="6010" w:type="dxa"/>
        <w:jc w:val="left"/>
        <w:tblInd w:w="0" w:type="dxa"/>
        <w:tblLayout w:type="fixed"/>
        <w:tblCellMar>
          <w:top w:w="0" w:type="dxa"/>
          <w:left w:w="0" w:type="dxa"/>
          <w:bottom w:w="0" w:type="dxa"/>
          <w:right w:w="0" w:type="dxa"/>
        </w:tblCellMar>
      </w:tblPr>
      <w:tblGrid>
        <w:gridCol w:w="60"/>
        <w:gridCol w:w="110"/>
        <w:gridCol w:w="58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obtain funding or to obtain funding under acceptable terms;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inflation and price volatility in the global economy that could negatively impact our business and results of operations;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consequences of future geopolitical events, which we cannot predict but which may adversely affect the markets in which we operate, our operations, or our results of operations;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impacts to our business from security threats, including cybersecurity threats, and other disruptions;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For additional information regarding known material factors that could cause our actual results to differ materially from our projected results, please see (1)</w:t>
      </w:r>
      <w:r>
        <w:rPr>
          <w:rFonts w:ascii="Times New Roman" w:hAnsi="Times New Roman"/>
          <w:caps w:val="false"/>
          <w:smallCaps w:val="false"/>
          <w:sz w:val="20"/>
        </w:rPr>
        <w:t> </w:t>
      </w:r>
      <w:r>
        <w:rPr>
          <w:rFonts w:ascii="Times New Roman" w:hAnsi="Times New Roman"/>
          <w:i/>
          <w:caps w:val="false"/>
          <w:smallCaps w:val="false"/>
          <w:sz w:val="20"/>
        </w:rPr>
        <w:t xml:space="preserve">Part II,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of this Form 10-Q, (2)</w:t>
      </w:r>
      <w:r>
        <w:rPr>
          <w:rFonts w:ascii="Times New Roman" w:hAnsi="Times New Roman"/>
          <w:caps w:val="false"/>
          <w:smallCaps w:val="false"/>
          <w:sz w:val="20"/>
        </w:rPr>
        <w:t> </w:t>
      </w:r>
      <w:r>
        <w:rPr>
          <w:rFonts w:ascii="Times New Roman" w:hAnsi="Times New Roman"/>
          <w:i/>
          <w:caps w:val="false"/>
          <w:smallCaps w:val="false"/>
          <w:sz w:val="20"/>
        </w:rPr>
        <w:t xml:space="preserve">Part I,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January 31, 2026, and (3) the Company</w:t>
      </w:r>
      <w:r>
        <w:rPr>
          <w:rFonts w:ascii="Times New Roman" w:hAnsi="Times New Roman"/>
          <w:caps w:val="false"/>
          <w:smallCaps w:val="false"/>
          <w:sz w:val="20"/>
        </w:rPr>
        <w:t>’</w:t>
      </w:r>
      <w:r>
        <w:rPr>
          <w:rFonts w:ascii="Times New Roman" w:hAnsi="Times New Roman"/>
          <w:i/>
          <w:caps w:val="false"/>
          <w:smallCaps w:val="false"/>
          <w:sz w:val="20"/>
        </w:rPr>
        <w:t>s other filings filed with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i/>
          <w:caps w:val="false"/>
          <w:smallCaps w:val="false"/>
          <w:sz w:val="20"/>
        </w:rPr>
      </w:pPr>
      <w:r>
        <w:rPr>
          <w:rFonts w:ascii="Times New Roman" w:hAnsi="Times New Roman"/>
          <w:i/>
          <w:caps w:val="false"/>
          <w:smallCaps w:val="false"/>
          <w:sz w:val="20"/>
        </w:rPr>
        <w:t>There may be other factors of which the Company is not currently aware that may affect matters discussed in the forward-looking statements and may also cause actual results to differ materially from those discussed. Readers are cautioned not to place undue reliance on forward-looking statements, which speak only as of the date hereof. We undertake no obligation to publicly update or revise any forward-looking statement after the date they are made, whether as the result of new information, future events or otherwise, except as required by law. All forward-looking statements included herein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item_2_1"/>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Management believes that the performance of our Seamap segment is indicated by revenues from sales of products and by gross profit from those sales. Management monitors EBITDA and Adjusted EBITDA, both as defined and reconciled to the most directly comparable financial measures calculated and presented in accordance with United States generally accepted accounting principles (“GAAP”), in the following table, as key indicators of our overall performance and liquidity.</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1"/>
        <w:gridCol w:w="60"/>
        <w:gridCol w:w="196"/>
        <w:gridCol w:w="859"/>
        <w:gridCol w:w="125"/>
        <w:gridCol w:w="94"/>
        <w:gridCol w:w="196"/>
        <w:gridCol w:w="859"/>
        <w:gridCol w:w="80"/>
        <w:gridCol w:w="60"/>
        <w:gridCol w:w="186"/>
        <w:gridCol w:w="814"/>
        <w:gridCol w:w="119"/>
        <w:gridCol w:w="89"/>
        <w:gridCol w:w="186"/>
        <w:gridCol w:w="814"/>
        <w:gridCol w:w="87"/>
      </w:tblGrid>
      <w:tr>
        <w:trPr/>
        <w:tc>
          <w:tcPr>
            <w:tcW w:w="53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July 31,</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Net (loss) income to EBITDA and 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329" w:type="dxa"/>
            <w:gridSpan w:val="6"/>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center"/>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center"/>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(1)</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(1)</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Net Cash (Used in) Provided by Operating Activities to EBITDA</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accounts receivable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net of refunds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inventory</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accounts payable, accrued expenses and other current liabilities, 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prepaid expenses and other current and long-term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(1)</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design, manufacture and sell a variety of products used primarily in seismic and marine survey industries. Seamap’s primary products include (i) the GunLink seismic source acquisition and control systems; (ii) the BuoyLink RGPS tracking system used to provide precise positioning of seismic sources and streamers (marine recording channels that are towed behind a vessel) and (iii) SeaLink marine sensors and solid streamer systems (collectively, the “SeaLink” product line or “towed streamer products”). These towed streamer products are primarily designed for three-dimensional, high-resolution marine surveys in marine survey applications.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results of operations can experience fluctuations in activity levels due to a number of factors outside of our control. These factors include budgetary or financial concerns, supply chain issues, labor issues, inclement weather, and geopolitical events. See Part II, 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Business Outlook</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Recently, we have experienced decreased visibility for future business activity, as partially indicated by decreased firm backlog as discussed below.  We believe this is due in large part to uncertainties in the marine exploration and survey markets.  Global economic, political and security concerns have, in our opinion, contributed to this uncertainty. The on-going war with Iran has created additional uncertainty and disruptions. Certain of our customers have experienced disruptions in operations due to the current conflict in Iran. Such disruptions have caused pauses in on-going operations, delays in payments and delays in the award and commencement of anticipated projects. Despite these near-term challenges, we believe the disruptions are temporary and that the longer-term outlook in the marine exploration and survey market is quite positive.  Certain of our customers have recently reported increasing backlogs for projects outside of the Middle East and many industry commentators predict a strong resurgence in marine exploration and survey activity.</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As of July 31, 2026, our backlog of firm orders was approximately $4.8 million, compared to approximately $13.9 million as of January 31, 2026. We believe a significant portion of our current backlog will be completed and shipped by the end of fiscal 2027. In addition to our backlog of firm orders, we have a significant pipeline of pending and potential orders, and we have recently identified new opportunities for later this fiscal year and subsequent periods. However, the timing of many of these opportunities is uncertain and we believe the recent reduced level of activity will continue at least through the third quarter of fiscal 2027. The level of backlog at a particular point in time may not necessarily be indicative of results in subsequent periods as the size and delivery period of individual orders can vary significantly.</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Based on this visibility and expected delivery schedules, we expect a decline in revenue in fiscal 2027 from the level of revenue recognized in fiscal 2026.  While our long-term outlook for our existing product lines is optimistic, the outlook for fiscal 2027 is less clear.  We believe this expected decline in fiscal 2027 revenue is due to recent delays in certain projects and temporary changes in capital allocations by ultimate end-users.  We are currently pursuing a number of initiatives, including the development of new products and significant project opportunities, some of which could have a positive impact on our future financial results, although there can be no assurance as to the magnitude or timing of any such contributions.</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During fiscal 2026, our facility in Huntsville, Texas underwent an expansion to handle an expected increase in activity. As a result, repair and production activities were suspended for several months until the expansion activities were completed and repair and production operations resumed in the third quarter of fiscal 2026. We expect incremental activity and increased revenue from this facility in fiscal 2027 and beyond.</w:t>
      </w:r>
    </w:p>
    <w:p>
      <w:pPr>
        <w:pStyle w:val="TextBody"/>
        <w:bidi w:val="0"/>
        <w:spacing w:before="0" w:after="0"/>
        <w:ind w:left="16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Our revenues tend to fluctuate from quarter to quarter due to delivery schedules and other factors, including the following:</w:t>
      </w:r>
    </w:p>
    <w:p>
      <w:pPr>
        <w:pStyle w:val="TextBody"/>
        <w:bidi w:val="0"/>
        <w:spacing w:before="0" w:after="0"/>
        <w:ind w:left="300" w:right="0" w:firstLine="46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10"/>
        <w:gridCol w:w="5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of our customers to accept delivery of orders as scheduled;</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10"/>
        <w:gridCol w:w="1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Cancellation of orders;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10"/>
        <w:gridCol w:w="9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difficulties, including supply chain disruptions, which could delay the completion of orders as scheduled;</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10"/>
        <w:gridCol w:w="4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Anticipated orders not being received as expected; and</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10"/>
        <w:gridCol w:w="3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unanticipated delays beyond our control. </w:t>
            </w:r>
          </w:p>
        </w:tc>
      </w:tr>
    </w:tbl>
    <w:p>
      <w:pPr>
        <w:pStyle w:val="TextBody"/>
        <w:bidi w:val="0"/>
        <w:spacing w:before="0" w:after="0"/>
        <w:ind w:left="300" w:right="0" w:firstLine="4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our Seamap segment, we address the marine survey and exploration markets. We see a number of opportunities to add to our technology and to apply existing technology and products to new applications. We also continue to pursue initiatives to further expand our product offerings. These initiatives include new internally developed technology, introduction of new products based on our existing technology, technology obtained through partnering arrangements with others and a combination of all of these efforts. However, we can give no assurance that any of these initiatives will ultimately have a material impact on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believe the following developments within the marine technology industry may have a significant impact on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activity within the marine exploration space, including applications for alternative energy projects such as offshore windfarms and carbon capture projects;</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110"/>
        <w:gridCol w:w="9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 xml:space="preserve">  </w:t>
            </w:r>
            <w:r>
              <w:rPr/>
              <w:t>Increased marine exploration for oil and gas as a result of recent disruptions in Middle East supplies; and</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10"/>
        <w:gridCol w:w="78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Demand for economical, commercially developed, technology for maritime security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an effort to exploit these, and other, developments and perceived opportunities, we have prioritized certain strategic initiatives, including adaption of our SeaLink solid streamer technology to:</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Alternative applications, such as hydrographic surveys for windfarm and carbon capture projects; and</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10"/>
        <w:gridCol w:w="2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Maritime security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believe that the above applications expand our addressable markets and provide opportunities for further revenue growth.</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also believe there are other initiatives that can expand our business and enhance stockholder value.  These include development of new technology and products, the acquisition of technology, products or businesses or the combination with other companies.  We continue to actively identify and evaluate these opportunities.  We believe the Company is well positioned to take advantage of any such opportunities should they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General inflation levels have increased recently due in part to supply chain issues, increased energy costs and geopolitical uncertainty. In addition, shortages of certain components, such as electronic components, have caused prices for available components to increase in some cases. Although these factors have had a negative impact on our costs, our revenues and results of operations have not been materially impacted by inflation or changing prices in the past several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Revenues for the three and six months ended July 31, 2026 were approximately $5.6 million and $15.3 million, respectively, compared to approximately $13.6 million and $21.5 million for the three and six months ended July 31, 2025, respectively. For the three and six months ended July 31, 2026, we generated an operating loss of approximately $1.8 million and $1.8 million, respectively, compared to operating income of approximately $2.7 million and $2.0 million for the three and six months ended July 31, 2025, respectively. A more detailed explanation of these variations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Revenues and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Revenues and cost of sales for our Seamap segment were as follows:</w:t>
      </w:r>
    </w:p>
    <w:p>
      <w:pPr>
        <w:pStyle w:val="TextBody"/>
        <w:bidi w:val="0"/>
        <w:spacing w:before="0" w:after="0"/>
        <w:ind w:left="0" w:right="0" w:firstLine="500"/>
        <w:jc w:val="left"/>
        <w:rPr>
          <w:caps w:val="false"/>
          <w:smallCaps w:val="false"/>
        </w:rPr>
      </w:pPr>
      <w:r>
        <w:rPr>
          <w:caps w:val="false"/>
          <w:smallCaps w:val="false"/>
        </w:rPr>
        <w:t> </w:t>
      </w:r>
    </w:p>
    <w:tbl>
      <w:tblPr>
        <w:tblW w:w="6641" w:type="dxa"/>
        <w:jc w:val="left"/>
        <w:tblInd w:w="0" w:type="dxa"/>
        <w:tblLayout w:type="fixed"/>
        <w:tblCellMar>
          <w:top w:w="0" w:type="dxa"/>
          <w:left w:w="0" w:type="dxa"/>
          <w:bottom w:w="0" w:type="dxa"/>
          <w:right w:w="0" w:type="dxa"/>
        </w:tblCellMar>
      </w:tblPr>
      <w:tblGrid>
        <w:gridCol w:w="2690"/>
        <w:gridCol w:w="60"/>
        <w:gridCol w:w="142"/>
        <w:gridCol w:w="552"/>
        <w:gridCol w:w="210"/>
        <w:gridCol w:w="68"/>
        <w:gridCol w:w="142"/>
        <w:gridCol w:w="672"/>
        <w:gridCol w:w="185"/>
        <w:gridCol w:w="60"/>
        <w:gridCol w:w="125"/>
        <w:gridCol w:w="590"/>
        <w:gridCol w:w="185"/>
        <w:gridCol w:w="60"/>
        <w:gridCol w:w="125"/>
        <w:gridCol w:w="590"/>
        <w:gridCol w:w="185"/>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p>
        </w:tc>
        <w:tc>
          <w:tcPr>
            <w:tcW w:w="18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w:t>
            </w:r>
          </w:p>
        </w:tc>
        <w:tc>
          <w:tcPr>
            <w:tcW w:w="2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margin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revenue by source: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 sales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activity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significant portion of Seamap’s sales consist of large discrete orders, the timing of which is dictated by our customers. This timing generally relates to the availability of the vessel in port so that our products can be delivered and installed. Accordingly, sales can significantly vary from one period to another. The remaining sales relate to “after-market” activity such as the sale of spare parts, repairs and services. The gross profit margin in the six-month period ended July 31, 2026 decreased to 40% from 47% in the six-month period ended July 31, 2025 primarily attributable to the impact of unabsorbed overhead. The decline in gross margin was despite a higher percentage of after-market activity in the fiscal 2027 periods.  After-market orders generally generate a higher gross margin than system sales.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for the three and six months ended July 31, 2026, were approximately $3.3 million and $6.8 million, respectively, compared to approximately $3.6 million and $7.0 million for the three and six months ended July 31, 2025, respectively. The decrease to the comparable prior year periods primarily relates to lower professional fee expense due to one-time, non-recurring project costs incurred in the prior year periods.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Research and development costs were approximately $407,000 and $717,000 for the three and six-month periods ended July 31, 2026, respectively, compared to approximately $311,000 and $691,000 for the three and six-month periods ended July 31, 2025, respectively. Costs in each of the periods are related primarily to development of our next generation towed streamer system and other new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 which includes depreciation of equipment, furniture and fixtures and the amortization of intangible assets, was approximately $224,000 and $452,000 in the three and six-month periods ended July 31, 2026, respectively, and approximately $217,000 and $442,000 for the three and six-month periods ended July 31, 2025,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Other Income and Expense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Other income recognized for the three and six months ended July 31, 2026, related primarily to interest income on cash balances.  Other losses recognized for the three and six months ended July 31, 2025 related primarily to foreign exchange losses.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For the three and six months ended July 31, 2026, our income tax expense was approximately $18,000 and $494,000, respectively, on pre-tax losses of approximately $1.7 million and $1.7 million, respectively. For the three and six months ended July 31, 2025, our income tax expense was approximately $670,000 and $964,000, respectively on pre-tax income of approximately $2.6 million and $1.9 million, respectively. These amounts differed from the result expected when applying the U.S. statutory rate of 21% to our income before income taxes for the respective periods due primarily to the impact of income taxes accrued in certain foreign jurisdictions, primarily Singapore, which do not have net operating losses available to offset taxable income, and because we do not benefit from tax losses in the U.S. and certain foreign jurisdictions where we have valuation allowances recorded against our deferred tax assets. Valuation allowances have been provided against all deferred tax assets in the United States and certain foreign jurisdictions, including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generated income from operations and positive Adjusted EBITDA for each of the past three fiscal years.  The Company also generated income from operations and cash provided by operating activities for each of fiscal 2025 and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July 31, 2026, the Company had working capital of approximately $36.7 million, including cash and cash equivalents of approximately $15.8 million, compared to working capital of approximately $37.4 million, including cash and cash equivalents of approximately $19.1 million, as of January 31, 2026. On March 17, 2026, the Company entered into a trade finance facility with The Hong Kong and Shanghai Bank Corporation Limited, Singapore Branch (“HSBC Singapore”) for the issuance, from time to time, of letters of credit or bank guarantees. The Company has entered into this facility to provide flexibility for the pursuit of potential future projects and to allow the Company to respond efficiently and economically as these potential projects may arise. As of September 9, 2026, there has been no activity associated with this trade facility.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have recently experienced delays in payments from certain customers, reportedly due to disruptions in their operations and cash flow brought about by the war in Iran.  As of July 31, 2026, accounts receivable related to the delayed payments amounted to approximately $12.6 million, of which $1.9 million has been subsequently collected.  The majority of the remaining balance is due from a subsidiary of a major foreign oil company.  We have received periodic installments on this balance and are confident the remaining amounts will be fully collected.  However, this has resulted in a decline in our anticipated cash flows from operations for the six months ended July 31,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believes it will have adequate liquidity to meet its future operating requirements through a combination of cash on hand, cash expected to be generated from operations, disciplined working capital management, the issuance of equity securities or some other form of financing.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September 2025 we initiated an at-the-market “ATM” offering program whereby we may issue common stock from time to time for gross proceeds of up to $25.0 million. We believe our ATM program allows us to raise capital quickly and efficiently should the need arise, such as for an acquisition or other business expansion.  Additionally, this facility allows us to raise capital in the event the price of our common stock reflects a market value at which we believe adding capital, at or above that price, to be non-dilutive.  To date, we have issued approximately 1.1 million shares of common stock pursuant to the ATM and generated net proceeds of approximately $11.7 million.  Concurrently with establishing the ATM program, our Board of Directors authorized the buyback of up to $4.0 million of our common stock.  This repurchase program will allow us to move quickly and efficiently should we believe market conditions indicate that the purchase of our own common stock is the best use of our capital. To date we have not repurchased any shares of common stock pursuant to our repurchase program.  We believe both of these liquidity programs are consistent with our stated objective of furthering stockholder value by whatever means feasible.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selected historical information regarding cash flows from our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247" w:type="dxa"/>
        <w:jc w:val="left"/>
        <w:tblInd w:w="0" w:type="dxa"/>
        <w:tblLayout w:type="fixed"/>
        <w:tblCellMar>
          <w:top w:w="0" w:type="dxa"/>
          <w:left w:w="0" w:type="dxa"/>
          <w:bottom w:w="0" w:type="dxa"/>
          <w:right w:w="0" w:type="dxa"/>
        </w:tblCellMar>
      </w:tblPr>
      <w:tblGrid>
        <w:gridCol w:w="5900"/>
        <w:gridCol w:w="60"/>
        <w:gridCol w:w="194"/>
        <w:gridCol w:w="848"/>
        <w:gridCol w:w="124"/>
        <w:gridCol w:w="93"/>
        <w:gridCol w:w="194"/>
        <w:gridCol w:w="754"/>
        <w:gridCol w:w="80"/>
      </w:tblGrid>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7"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(3,136</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changes in foreign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(3,292</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July 31, 2026, we had working capital of approximately $36.7 million, including cash and cash equivalents of approximately $15.8 million, as compared to working capital of approximately $37.4 million, including cash and cash equivalents of approximately $19.1 million, at January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Cash Flows from Operating Activities</w:t>
      </w:r>
      <w:r>
        <w:rPr>
          <w:rFonts w:ascii="Times New Roman" w:hAnsi="Times New Roman"/>
          <w:caps w:val="false"/>
          <w:smallCaps w:val="false"/>
          <w:sz w:val="20"/>
        </w:rPr>
        <w:t>. Net cash used in operating activities was approximately $3.1 million in the first six months of fiscal 2027 as compared to cash provided by operating activities of approximately $2.9 million in the first six months of fiscal 2026. The decrease in net cash provided by operating activities was due mainly to the net loss for the six-month period ended July 31, 2026 and increases in accounts receivable during that same period.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Cash Flows from Investing Activities</w:t>
      </w:r>
      <w:r>
        <w:rPr>
          <w:rFonts w:ascii="Times New Roman" w:hAnsi="Times New Roman"/>
          <w:caps w:val="false"/>
          <w:smallCaps w:val="false"/>
          <w:sz w:val="20"/>
        </w:rPr>
        <w:t>. Net cash used in investing activities during the first six months of fiscal 2027 relates primarily to the purchase of assets. These purchases primarily reflect capital expenditures to support our manufacturing and product development activities. We expect to fund future capital expenditures from cash on hand and cash generated from operations and do not have any capital expenditure requirements that would materially affect our liquidity or capital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Cash Flows from Financing Activities</w:t>
      </w:r>
      <w:r>
        <w:rPr>
          <w:rFonts w:ascii="Times New Roman" w:hAnsi="Times New Roman"/>
          <w:caps w:val="false"/>
          <w:smallCaps w:val="false"/>
          <w:sz w:val="20"/>
        </w:rPr>
        <w:t>. For the six months ended July 31, 2026 and July 31, 2025, there was no cash flow related to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have determined that the undistributed earnings of foreign subsidiaries are not deemed indefinitely reinvested outside of the United States as of July 31, 2026. Furthermore, we have concluded that any deferred taxes with respect to the undistributed foreign earnings would be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July 31, 2026, we had deposits in foreign banks equal to approximately $4.4 million, all of which we believe could be distributed to the United States without adverse tax consequences. However, in certain cases, the transfer of these funds may result in withholding taxes payable to foreign taxing authorities. If withholding taxes should become payable, we believe the amount of tax withheld would be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Information regarding our critical accounting estimates is included in Part II, Item 7 “Management’s Discussion and Analysis of Financial Condition and Results of Operations” in our Annual Report on Form 10-K for the year ended January 31, 2026. There have been no material changes to our critical accounting estimates during the three- and six-month periods ended July 31, 2026.</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3" w:name="item_3_1"/>
      <w:bookmarkEnd w:id="13"/>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are exposed to market risk, which is the potential loss arising from adverse changes in market prices and rates. We have not entered, and do not intend to enter, into derivative financial instruments for hedging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operate in several foreign locations, which gives rise to risk from changes in foreign currency exchange rates. To the extent possible, we attempt to denominate our transactions in foreign locations in U.S. dollars. For those cases in which transactions are not denominated in U.S. dollars, we are exposed to risk from changes in exchange rates to the extent that non-U.S. dollar revenues exceed non-U.S. dollar expenses related to those transactions. Our non-U.S. dollar transactions are denominated primarily in British pounds, Singapore dollars and European Union euros. As a result of these transactions, we generally hold cash balances that are denominated in these foreign currencies. As of July 31, 2026, our consolidated cash and cash equivalents included foreign currency denominated amounts equivalent to approximately $614,000 in U.S. dollars. A 10% increase in the U.S. dollar as compared to each of these currencies would result in a loss of approximately $61,000 in the U.S. dollar value of these deposits, while a 10% decrease would result in an equal amount of gain. We do not currently hold or issue foreign exchange contracts or other derivative instruments to hedge these exposures.</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b/>
          <w:i/>
          <w:caps w:val="false"/>
          <w:smallCaps w:val="false"/>
          <w:sz w:val="20"/>
        </w:rPr>
      </w:pPr>
      <w:r>
        <w:rPr>
          <w:rFonts w:ascii="Times New Roman" w:hAnsi="Times New Roman"/>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July 31, 2026, we had no interest bearing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item_4_1"/>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we have evaluated, under the supervision and with the participation of our management, including our principal executive officers and principal financial officer, the effectiveness of the design and operation of our disclosure controls and procedures (as defined in Rules 13a-15(e) and 15d-15(e) under the Exchange Act) as of the end of the period covered by this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effective as of July 31, 2026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was no change in our system of internal control over financial reporting (as defined in Rules 13a-15(f) and 15d-15(f) under the Exchange Act) during the quarter ended July 31,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 w:name="part_2"/>
      <w:bookmarkEnd w:id="15"/>
      <w:r>
        <w:rPr>
          <w:rFonts w:ascii="Times New Roman" w:hAnsi="Times New Roman"/>
          <w:b/>
          <w:caps w:val="false"/>
          <w:smallCaps w:val="false"/>
          <w:sz w:val="20"/>
        </w:rPr>
        <w:t>PART II</w:t>
      </w:r>
    </w:p>
    <w:p>
      <w:pPr>
        <w:pStyle w:val="TextBody"/>
        <w:bidi w:val="0"/>
        <w:spacing w:before="0" w:after="0"/>
        <w:ind w:left="0" w:right="0" w:hanging="0"/>
        <w:jc w:val="left"/>
        <w:rPr>
          <w:rFonts w:ascii="Times New Roman" w:hAnsi="Times New Roman"/>
          <w:caps w:val="false"/>
          <w:smallCaps w:val="false"/>
          <w:sz w:val="20"/>
        </w:rPr>
      </w:pPr>
      <w:bookmarkStart w:id="16" w:name="item_1_2"/>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From time to time, we are a party to legal proceedings arising in the ordinary course of business. We are not currently a party to any legal proceedings, individually or collectively, that we believe could have a material adverse effect on our results of operations or financial condition or is otherwise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item_1A_2"/>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val="false"/>
          <w:i/>
          <w:sz w:val="20"/>
        </w:rPr>
      </w:pPr>
      <w:r>
        <w:rPr>
          <w:rFonts w:ascii="Times New Roman" w:hAnsi="Times New Roman"/>
          <w:b w:val="false"/>
          <w:i/>
          <w:sz w:val="20"/>
        </w:rPr>
        <w:t>In addition to the other information set forth elsewhere in this Form 10-Q, you should carefully consider the risks discussed in our Annual Report on Form 10-K for the year ended January 31, 2026, which risks could materially affect our business, financial condition or future results. There have been no material changes in our risk factors from those described in our Annual Report on Form 10-K for the year ended January 31, 2026. The risks described in our Annual Report on Form 10-K for the year ended January 31, 2026, are not the only risks the Company faces. Additional risks and uncertainties not currently known to us or that we currently deem to be immaterial may also materially adversely affect our business, financial condition, or future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8" w:name="item_2_2"/>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i/>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0"/>
        <w:gridCol w:w="230"/>
        <w:gridCol w:w="12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tc>
      </w:tr>
    </w:tbl>
    <w:tbl>
      <w:tblPr>
        <w:tblW w:w="1795" w:type="dxa"/>
        <w:jc w:val="left"/>
        <w:tblInd w:w="0" w:type="dxa"/>
        <w:tblLayout w:type="fixed"/>
        <w:tblCellMar>
          <w:top w:w="0" w:type="dxa"/>
          <w:left w:w="0" w:type="dxa"/>
          <w:bottom w:w="0" w:type="dxa"/>
          <w:right w:w="0" w:type="dxa"/>
        </w:tblCellMar>
      </w:tblPr>
      <w:tblGrid>
        <w:gridCol w:w="60"/>
        <w:gridCol w:w="275"/>
        <w:gridCol w:w="14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1460"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item_3_2"/>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i/>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item_4_2"/>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i/>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item_5_2"/>
      <w:bookmarkEnd w:id="21"/>
      <w:r>
        <w:rPr>
          <w:rFonts w:ascii="Times New Roman" w:hAnsi="Times New Roman"/>
          <w:b/>
          <w:caps w:val="false"/>
          <w:smallCaps w:val="false"/>
          <w:sz w:val="20"/>
        </w:rPr>
        <w:t>Item</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no director or officer entered into, modified,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(in each case,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2" w:name="item_6_2"/>
      <w:bookmarkEnd w:id="2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i/>
          <w:caps w:val="false"/>
          <w:smallCaps w:val="false"/>
          <w:sz w:val="20"/>
        </w:rPr>
      </w:pPr>
      <w:r>
        <w:rPr>
          <w:rFonts w:ascii="Times New Roman" w:hAnsi="Times New Roman"/>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exhibits marked with the cross symbol (†) are filed (or furnished in the case of Exhibit 32.1) with this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6"/>
        <w:gridCol w:w="60"/>
        <w:gridCol w:w="5596"/>
        <w:gridCol w:w="60"/>
        <w:gridCol w:w="2802"/>
        <w:gridCol w:w="60"/>
        <w:gridCol w:w="861"/>
      </w:tblGrid>
      <w:tr>
        <w:trPr/>
        <w:tc>
          <w:tcPr>
            <w:tcW w:w="766"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23" w:name="ex_index"/>
            <w:bookmarkEnd w:id="23"/>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 Description</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r>
      <w:tr>
        <w:trPr/>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5596"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Reference</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Amended and Restated Certificate of Incorporation of MIND Technology, Inc.</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Report on Form 8-K, filed with the SEC on August 7, 2020.</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r>
      <w:tr>
        <w:trPr/>
        <w:tc>
          <w:tcPr>
            <w:tcW w:w="766"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283"/>
              <w:jc w:val="left"/>
              <w:rPr/>
            </w:pPr>
            <w:hyperlink r:id="rId3">
              <w:r>
                <w:rPr>
                  <w:rStyle w:val="InternetLink"/>
                  <w:u w:val="single"/>
                </w:rPr>
                <w:t>Certificate of Amendment of Certificate of Incorporation of MIND Technology, Inc., effective as of October 12, 2023.</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Current Report on Form 8-K, filed with the SEC on October 13, 2023.</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pPr>
            <w:r>
              <w:rPr/>
              <w:t>3.1</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Amended and Restated Bylaws of MIND Technology, Inc.</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Report on Form 8-K, filed with the SEC on August 7, 2020.</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Texas Certificate of Merger, effective as of August 3, 2020</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Report on Form 8-K, filed with the SEC on August 7, 2020.</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Delaware Certificate of Merger, effective as of August 3, 2020</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Report on Form 8-K, filed with the SEC on August 7, 2020.</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w:anchor="ex_979216.htm">
              <w:r>
                <w:rPr>
                  <w:rStyle w:val="InternetLink"/>
                  <w:rFonts w:ascii="Times New Roman" w:hAnsi="Times New Roman"/>
                  <w:caps w:val="false"/>
                  <w:smallCaps w:val="false"/>
                  <w:sz w:val="20"/>
                </w:rPr>
                <w:t>Certification of Robert P. Capps, Chief Executive Officer, pursuant to Rule 13a-14(a) and Rule 15d-14(a) of the Securities Exchange Act, as amended</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w:anchor="ex_979217.htm">
              <w:r>
                <w:rPr>
                  <w:rStyle w:val="InternetLink"/>
                  <w:rFonts w:ascii="Times New Roman" w:hAnsi="Times New Roman"/>
                  <w:caps w:val="false"/>
                  <w:smallCaps w:val="false"/>
                  <w:sz w:val="20"/>
                </w:rPr>
                <w:t>Certification of Mark A. Cox, Chief Financial Officer, pursuant to Rule 13a-14(a) and Rule 15d-14(a) of the Securities Exchange Act, as amended</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pPr>
            <w:hyperlink w:anchor="ex_979218.htm">
              <w:r>
                <w:rPr>
                  <w:rStyle w:val="InternetLink"/>
                  <w:rFonts w:ascii="Times New Roman" w:hAnsi="Times New Roman"/>
                  <w:caps w:val="false"/>
                  <w:smallCaps w:val="false"/>
                  <w:sz w:val="20"/>
                </w:rPr>
                <w:t>Certification of Robert P. Capps, Chief Executive Officer, and Mark A. Cox, Chief Financial Officer, under Section 906 of the Sarbanes Oxley Act of 2002, 18 U.S.C. § 1350</w:t>
              </w:r>
            </w:hyperlink>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of Linkbase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24" w:name="signatures"/>
      <w:bookmarkEnd w:id="24"/>
      <w:r>
        <w:rPr>
          <w:rFonts w:ascii="Times New Roman" w:hAnsi="Times New Roman"/>
          <w:b/>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015"/>
        <w:gridCol w:w="3080"/>
      </w:tblGrid>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MIND TECHNOLOGY, INC.</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9,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P. Capps</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P. Capps</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(Duly 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24 </w:t>
      </w:r>
    </w:p>
    <w:p>
      <w:pPr>
        <w:pStyle w:val="TextBody"/>
        <w:bidi w:val="0"/>
        <w:spacing w:before="0" w:after="0"/>
        <w:ind w:left="0" w:right="0" w:hanging="0"/>
        <w:jc w:val="right"/>
        <w:rPr>
          <w:rFonts w:ascii="Times New Roman" w:hAnsi="Times New Roman"/>
          <w:b/>
          <w:caps w:val="false"/>
          <w:smallCaps w:val="false"/>
          <w:sz w:val="20"/>
        </w:rPr>
      </w:pPr>
      <w:bookmarkStart w:id="25" w:name="ex_979216.htm"/>
      <w:bookmarkStart w:id="26" w:name="ksex_979216"/>
      <w:bookmarkEnd w:id="25"/>
      <w:bookmarkEnd w:id="26"/>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Robert P. Capps,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i/>
          <w:caps w:val="false"/>
          <w:smallCaps w:val="false"/>
          <w:sz w:val="20"/>
        </w:rPr>
        <w:t>.</w:t>
      </w:r>
      <w:r>
        <w:rPr>
          <w:rFonts w:ascii="Times New Roman" w:hAnsi="Times New Roman"/>
          <w:caps w:val="false"/>
          <w:smallCaps w:val="false"/>
          <w:sz w:val="20"/>
        </w:rPr>
        <w:t xml:space="preserve"> I have reviewed this quarterly report on Form 10-Q for the quarterly period ended </w:t>
      </w:r>
      <w:bookmarkStart w:id="27" w:name="led184316F2021941633383928434"/>
      <w:bookmarkEnd w:id="27"/>
      <w:r>
        <w:rPr>
          <w:rFonts w:ascii="Times New Roman" w:hAnsi="Times New Roman"/>
          <w:caps w:val="false"/>
          <w:smallCaps w:val="false"/>
          <w:sz w:val="20"/>
        </w:rPr>
        <w:t>July 31, 2026 of MIND Technology, Inc.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P. Capps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P. Capps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rFonts w:ascii="Times New Roman" w:hAnsi="Times New Roman"/>
          <w:caps w:val="false"/>
          <w:smallCaps w:val="false"/>
          <w:sz w:val="20"/>
        </w:rPr>
      </w:pPr>
      <w:bookmarkStart w:id="28" w:name="led184316F2021941633383944591"/>
      <w:bookmarkEnd w:id="28"/>
      <w:r>
        <w:rPr>
          <w:rFonts w:ascii="Times New Roman" w:hAnsi="Times New Roman"/>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79217.htm"/>
      <w:bookmarkStart w:id="30" w:name="ksex_979217"/>
      <w:bookmarkEnd w:id="29"/>
      <w:bookmarkEnd w:id="3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Mark A. Cox,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i/>
          <w:caps w:val="false"/>
          <w:smallCaps w:val="false"/>
          <w:sz w:val="20"/>
        </w:rPr>
        <w:t>.</w:t>
      </w:r>
      <w:r>
        <w:rPr>
          <w:rFonts w:ascii="Times New Roman" w:hAnsi="Times New Roman"/>
          <w:caps w:val="false"/>
          <w:smallCaps w:val="false"/>
          <w:sz w:val="20"/>
        </w:rPr>
        <w:t xml:space="preserve"> I have reviewed this quarterly report on Form 10-Q for the quarterly period ended </w:t>
      </w:r>
      <w:bookmarkStart w:id="31" w:name="led184316F2021941633383992339"/>
      <w:bookmarkEnd w:id="31"/>
      <w:r>
        <w:rPr>
          <w:rFonts w:ascii="Times New Roman" w:hAnsi="Times New Roman"/>
          <w:caps w:val="false"/>
          <w:smallCaps w:val="false"/>
          <w:sz w:val="20"/>
        </w:rPr>
        <w:t>July 31, 2026 of MIND Technology, Inc.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Mark A. Cox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Cox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Vice President of Finance and Accounting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rFonts w:ascii="Times New Roman" w:hAnsi="Times New Roman"/>
          <w:caps w:val="false"/>
          <w:smallCaps w:val="false"/>
          <w:sz w:val="20"/>
        </w:rPr>
      </w:pPr>
      <w:bookmarkStart w:id="32" w:name="led184316F2021941633383974441"/>
      <w:bookmarkEnd w:id="32"/>
      <w:r>
        <w:rPr>
          <w:rFonts w:ascii="Times New Roman" w:hAnsi="Times New Roman"/>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979218.htm"/>
      <w:bookmarkStart w:id="34" w:name="ksex_979218"/>
      <w:bookmarkEnd w:id="33"/>
      <w:bookmarkEnd w:id="34"/>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MIND Technology, Inc. (the “Company”) on Form 10-Q for the quarterly period ended </w:t>
      </w:r>
      <w:bookmarkStart w:id="35" w:name="led184316F2021941633384011174"/>
      <w:bookmarkEnd w:id="35"/>
      <w:r>
        <w:rPr>
          <w:rFonts w:ascii="Times New Roman" w:hAnsi="Times New Roman"/>
          <w:caps w:val="false"/>
          <w:smallCaps w:val="false"/>
          <w:sz w:val="20"/>
        </w:rPr>
        <w:t>July 31, 2026, as filed with the Securities and Exchange Commission on the date hereof (the “Report”), Robert P. Capps, Chief Executive Officer of the Company, and Mark A. Cox, Chief Financial Officer of the Company, each hereby certify, pursuant to 18 U.S.C. Section 1350, as adopted pursuant to Section 906 of the Sarbanes-Oxley Act of 2002, that, to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Robert P. Capps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P. Capps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rFonts w:ascii="Times New Roman" w:hAnsi="Times New Roman"/>
          <w:caps w:val="false"/>
          <w:smallCaps w:val="false"/>
          <w:sz w:val="20"/>
        </w:rPr>
      </w:pPr>
      <w:bookmarkStart w:id="36" w:name="led184316F2021941633384029267"/>
      <w:bookmarkEnd w:id="36"/>
      <w:r>
        <w:rPr>
          <w:rFonts w:ascii="Times New Roman" w:hAnsi="Times New Roman"/>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Mark A. Cox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Cox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Vice President of Finance and Accounting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rFonts w:ascii="Times New Roman" w:hAnsi="Times New Roman"/>
          <w:caps w:val="false"/>
          <w:smallCaps w:val="false"/>
          <w:sz w:val="20"/>
        </w:rPr>
      </w:pPr>
      <w:bookmarkStart w:id="37" w:name="led184316F2021941633384034743"/>
      <w:bookmarkEnd w:id="37"/>
      <w:r>
        <w:rPr>
          <w:rFonts w:ascii="Times New Roman" w:hAnsi="Times New Roman"/>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26423/000162828020012171/exhibit33-mindtechnolo.htm" TargetMode="External"/><Relationship Id="rId3" Type="http://schemas.openxmlformats.org/officeDocument/2006/relationships/hyperlink" Target="http://www.sec.gov/Archives/edgar/data/926423/000143774923028177/ex_578755.htm" TargetMode="External"/><Relationship Id="rId4" Type="http://schemas.openxmlformats.org/officeDocument/2006/relationships/hyperlink" Target="http://www.sec.gov/Archives/edgar/data/926423/000162828020012171/exhibit34-mindtechnolo.htm" TargetMode="External"/><Relationship Id="rId5" Type="http://schemas.openxmlformats.org/officeDocument/2006/relationships/hyperlink" Target="http://www.sec.gov/Archives/edgar/data/926423/000162828020012171/exhibit31-mindtechnolo.htm" TargetMode="External"/><Relationship Id="rId6" Type="http://schemas.openxmlformats.org/officeDocument/2006/relationships/hyperlink" Target="http://www.sec.gov/Archives/edgar/data/926423/000162828020012171/exhibit32-mindtechnol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11890</Words>
  <Characters>64865</Characters>
  <CharactersWithSpaces>78322</CharactersWithSpaces>
  <Paragraphs>4858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