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207645</wp:posOffset>
            </wp:positionH>
            <wp:positionV relativeFrom="page">
              <wp:posOffset>429895</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color w:val="auto"/>
        </w:rPr>
        <w:t>FORM 8-K</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CURRENT REPORT</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Pursuant to Section 13 or 15(d) of the Securities Exchange Act of 1934</w:t>
      </w:r>
    </w:p>
    <w:p>
      <w:pPr>
        <w:spacing w:after="0" w:line="224" w:lineRule="exact"/>
        <w:rPr>
          <w:sz w:val="24"/>
          <w:szCs w:val="24"/>
          <w:color w:val="auto"/>
        </w:rPr>
      </w:pPr>
    </w:p>
    <w:p>
      <w:pPr>
        <w:ind w:left="1040"/>
        <w:spacing w:after="0"/>
        <w:tabs>
          <w:tab w:leader="none" w:pos="792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7"/>
          <w:szCs w:val="17"/>
          <w:color w:val="auto"/>
        </w:rPr>
        <w:t>June 10,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color w:val="auto"/>
        </w:rPr>
        <w:t>MI</w:t>
      </w:r>
      <w:r>
        <w:rPr>
          <w:rFonts w:ascii="Times New Roman" w:cs="Times New Roman" w:eastAsia="Times New Roman" w:hAnsi="Times New Roman"/>
          <w:sz w:val="43"/>
          <w:szCs w:val="43"/>
          <w:u w:val="single" w:color="auto"/>
          <w:color w:val="auto"/>
        </w:rPr>
        <w:t>ND Technology,</w:t>
      </w:r>
      <w:r>
        <w:rPr>
          <w:rFonts w:ascii="Times New Roman" w:cs="Times New Roman" w:eastAsia="Times New Roman" w:hAnsi="Times New Roman"/>
          <w:sz w:val="43"/>
          <w:szCs w:val="43"/>
          <w:color w:val="auto"/>
        </w:rPr>
        <w:t xml:space="preserve">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3"/>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2940" w:type="dxa"/>
            <w:vAlign w:val="bottom"/>
            <w:gridSpan w:val="2"/>
          </w:tcPr>
          <w:p>
            <w:pPr>
              <w:jc w:val="center"/>
              <w:ind w:left="1230"/>
              <w:spacing w:after="0"/>
              <w:rPr>
                <w:sz w:val="20"/>
                <w:szCs w:val="20"/>
                <w:color w:val="auto"/>
              </w:rPr>
            </w:pPr>
            <w:r>
              <w:rPr>
                <w:rFonts w:ascii="Times New Roman" w:cs="Times New Roman" w:eastAsia="Times New Roman" w:hAnsi="Times New Roman"/>
                <w:sz w:val="18"/>
                <w:szCs w:val="18"/>
                <w:color w:val="auto"/>
                <w:w w:val="99"/>
              </w:rPr>
              <w:t>001-13490</w:t>
            </w:r>
          </w:p>
        </w:tc>
        <w:tc>
          <w:tcPr>
            <w:tcW w:w="4800" w:type="dxa"/>
            <w:vAlign w:val="bottom"/>
            <w:gridSpan w:val="3"/>
          </w:tcPr>
          <w:p>
            <w:pPr>
              <w:jc w:val="right"/>
              <w:ind w:right="1210"/>
              <w:spacing w:after="0"/>
              <w:rPr>
                <w:sz w:val="20"/>
                <w:szCs w:val="20"/>
                <w:color w:val="auto"/>
              </w:rPr>
            </w:pPr>
            <w:r>
              <w:rPr>
                <w:rFonts w:ascii="Times New Roman" w:cs="Times New Roman" w:eastAsia="Times New Roman" w:hAnsi="Times New Roman"/>
                <w:sz w:val="18"/>
                <w:szCs w:val="18"/>
                <w:color w:val="auto"/>
              </w:rPr>
              <w:t>76-0210849</w:t>
            </w:r>
          </w:p>
        </w:tc>
      </w:tr>
      <w:tr>
        <w:trPr>
          <w:trHeight w:val="190"/>
        </w:trPr>
        <w:tc>
          <w:tcPr>
            <w:tcW w:w="350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340" w:type="dxa"/>
            <w:vAlign w:val="bottom"/>
          </w:tcPr>
          <w:p>
            <w:pPr>
              <w:spacing w:after="0"/>
              <w:rPr>
                <w:sz w:val="16"/>
                <w:szCs w:val="16"/>
                <w:color w:val="auto"/>
              </w:rPr>
            </w:pPr>
          </w:p>
        </w:tc>
        <w:tc>
          <w:tcPr>
            <w:tcW w:w="2600" w:type="dxa"/>
            <w:vAlign w:val="bottom"/>
            <w:tcBorders>
              <w:top w:val="single" w:sz="8" w:color="auto"/>
            </w:tcBorders>
          </w:tcPr>
          <w:p>
            <w:pPr>
              <w:jc w:val="center"/>
              <w:ind w:left="890"/>
              <w:spacing w:after="0" w:line="190" w:lineRule="exact"/>
              <w:rPr>
                <w:sz w:val="20"/>
                <w:szCs w:val="20"/>
                <w:color w:val="auto"/>
              </w:rPr>
            </w:pPr>
            <w:r>
              <w:rPr>
                <w:rFonts w:ascii="Times New Roman" w:cs="Times New Roman" w:eastAsia="Times New Roman" w:hAnsi="Times New Roman"/>
                <w:sz w:val="18"/>
                <w:szCs w:val="18"/>
                <w:color w:val="auto"/>
              </w:rPr>
              <w:t>(Commission</w:t>
            </w:r>
          </w:p>
        </w:tc>
        <w:tc>
          <w:tcPr>
            <w:tcW w:w="9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48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340" w:type="dxa"/>
            <w:vAlign w:val="bottom"/>
          </w:tcPr>
          <w:p>
            <w:pPr>
              <w:spacing w:after="0"/>
              <w:rPr>
                <w:sz w:val="20"/>
                <w:szCs w:val="20"/>
                <w:color w:val="auto"/>
              </w:rPr>
            </w:pPr>
          </w:p>
        </w:tc>
        <w:tc>
          <w:tcPr>
            <w:tcW w:w="26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rPr>
              <w:t>File Number)</w:t>
            </w: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11"/>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2002 Timberloch Place, Suite 400,</w:t>
            </w:r>
          </w:p>
        </w:tc>
        <w:tc>
          <w:tcPr>
            <w:tcW w:w="3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80" w:type="dxa"/>
            <w:vAlign w:val="bottom"/>
          </w:tcPr>
          <w:p>
            <w:pPr>
              <w:spacing w:after="0"/>
              <w:rPr>
                <w:sz w:val="24"/>
                <w:szCs w:val="24"/>
                <w:color w:val="auto"/>
              </w:rPr>
            </w:pPr>
          </w:p>
        </w:tc>
      </w:tr>
      <w:tr>
        <w:trPr>
          <w:trHeight w:val="233"/>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The Woodlands, Texas</w:t>
            </w:r>
          </w:p>
        </w:tc>
        <w:tc>
          <w:tcPr>
            <w:tcW w:w="3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800" w:type="dxa"/>
            <w:vAlign w:val="bottom"/>
            <w:gridSpan w:val="3"/>
          </w:tcPr>
          <w:p>
            <w:pPr>
              <w:jc w:val="right"/>
              <w:ind w:right="1430"/>
              <w:spacing w:after="0"/>
              <w:rPr>
                <w:sz w:val="20"/>
                <w:szCs w:val="20"/>
                <w:color w:val="auto"/>
              </w:rPr>
            </w:pPr>
            <w:r>
              <w:rPr>
                <w:rFonts w:ascii="Times New Roman" w:cs="Times New Roman" w:eastAsia="Times New Roman" w:hAnsi="Times New Roman"/>
                <w:sz w:val="18"/>
                <w:szCs w:val="18"/>
                <w:color w:val="auto"/>
              </w:rPr>
              <w:t>77380</w:t>
            </w:r>
          </w:p>
        </w:tc>
      </w:tr>
      <w:tr>
        <w:trPr>
          <w:trHeight w:val="227"/>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r>
        <w:trPr>
          <w:trHeight w:val="627"/>
        </w:trPr>
        <w:tc>
          <w:tcPr>
            <w:tcW w:w="6440" w:type="dxa"/>
            <w:vAlign w:val="bottom"/>
            <w:gridSpan w:val="3"/>
          </w:tcPr>
          <w:p>
            <w:pPr>
              <w:ind w:left="190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4800" w:type="dxa"/>
            <w:vAlign w:val="bottom"/>
            <w:gridSpan w:val="3"/>
          </w:tcPr>
          <w:p>
            <w:pPr>
              <w:jc w:val="right"/>
              <w:ind w:right="3270"/>
              <w:spacing w:after="0"/>
              <w:rPr>
                <w:sz w:val="20"/>
                <w:szCs w:val="20"/>
                <w:color w:val="auto"/>
              </w:rPr>
            </w:pPr>
            <w:r>
              <w:rPr>
                <w:rFonts w:ascii="Times New Roman" w:cs="Times New Roman" w:eastAsia="Times New Roman" w:hAnsi="Times New Roman"/>
                <w:sz w:val="18"/>
                <w:szCs w:val="18"/>
                <w:color w:val="auto"/>
              </w:rPr>
              <w:t>(281) 353-4475</w:t>
            </w:r>
          </w:p>
        </w:tc>
      </w:tr>
    </w:tbl>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3" w:lineRule="exact"/>
        <w:rPr>
          <w:sz w:val="24"/>
          <w:szCs w:val="24"/>
          <w:color w:val="auto"/>
        </w:rPr>
      </w:pPr>
    </w:p>
    <w:p>
      <w:pPr>
        <w:ind w:right="740"/>
        <w:spacing w:after="0" w:line="280"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8"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8"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8" w:lineRule="exact"/>
        <w:rPr>
          <w:rFonts w:ascii="MS PGothic" w:cs="MS PGothic" w:eastAsia="MS PGothic" w:hAnsi="MS PGothic"/>
          <w:sz w:val="18"/>
          <w:szCs w:val="18"/>
          <w:color w:val="auto"/>
        </w:rPr>
      </w:pPr>
    </w:p>
    <w:p>
      <w:pPr>
        <w:ind w:left="220" w:hanging="213"/>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40" w:type="dxa"/>
            <w:vAlign w:val="bottom"/>
          </w:tcPr>
          <w:p>
            <w:pPr>
              <w:spacing w:after="0"/>
              <w:rPr>
                <w:sz w:val="20"/>
                <w:szCs w:val="20"/>
                <w:color w:val="auto"/>
              </w:rPr>
            </w:pPr>
          </w:p>
        </w:tc>
        <w:tc>
          <w:tcPr>
            <w:tcW w:w="4460" w:type="dxa"/>
            <w:vAlign w:val="bottom"/>
          </w:tcPr>
          <w:p>
            <w:pPr>
              <w:spacing w:after="0"/>
              <w:rPr>
                <w:sz w:val="20"/>
                <w:szCs w:val="20"/>
                <w:color w:val="auto"/>
              </w:rPr>
            </w:pPr>
          </w:p>
        </w:tc>
      </w:tr>
      <w:tr>
        <w:trPr>
          <w:trHeight w:val="430"/>
        </w:trPr>
        <w:tc>
          <w:tcPr>
            <w:tcW w:w="45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Trading Symbol (s)</w:t>
            </w:r>
          </w:p>
        </w:tc>
        <w:tc>
          <w:tcPr>
            <w:tcW w:w="44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8"/>
        </w:trPr>
        <w:tc>
          <w:tcPr>
            <w:tcW w:w="45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MIND</w:t>
            </w:r>
          </w:p>
        </w:tc>
        <w:tc>
          <w:tcPr>
            <w:tcW w:w="4460" w:type="dxa"/>
            <w:vAlign w:val="bottom"/>
            <w:tcBorders>
              <w:bottom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97" w:lineRule="exact"/>
        <w:rPr>
          <w:sz w:val="24"/>
          <w:szCs w:val="24"/>
          <w:color w:val="auto"/>
        </w:rPr>
      </w:pPr>
    </w:p>
    <w:p>
      <w:pPr>
        <w:ind w:right="560"/>
        <w:spacing w:after="0" w:line="28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4" w:lineRule="exact"/>
        <w:rPr>
          <w:sz w:val="24"/>
          <w:szCs w:val="24"/>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32955"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502920</wp:posOffset>
            </wp:positionV>
            <wp:extent cx="71329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9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 and Financial Condition.</w:t>
      </w:r>
    </w:p>
    <w:p>
      <w:pPr>
        <w:spacing w:after="0" w:line="227" w:lineRule="exact"/>
        <w:rPr>
          <w:sz w:val="20"/>
          <w:szCs w:val="20"/>
          <w:color w:val="auto"/>
        </w:rPr>
      </w:pPr>
    </w:p>
    <w:p>
      <w:pPr>
        <w:ind w:right="360"/>
        <w:spacing w:after="0" w:line="264" w:lineRule="auto"/>
        <w:rPr>
          <w:sz w:val="20"/>
          <w:szCs w:val="20"/>
          <w:color w:val="auto"/>
        </w:rPr>
      </w:pPr>
      <w:r>
        <w:rPr>
          <w:rFonts w:ascii="Times New Roman" w:cs="Times New Roman" w:eastAsia="Times New Roman" w:hAnsi="Times New Roman"/>
          <w:sz w:val="18"/>
          <w:szCs w:val="18"/>
          <w:color w:val="auto"/>
        </w:rPr>
        <w:t>On June 10, 2026, MIND Technology, Inc. (the “Company”) issued a press release announcing its financial results for the fiscal quarter ended April 30, 2026. The date and time for a conference call discussing the earnings are also included in the press release. A copy of the press release is furnished as Exhibit 99.1 to this Current Report on Form 8-K and incorporated by reference into this Item 2.02.</w:t>
      </w:r>
    </w:p>
    <w:p>
      <w:pPr>
        <w:spacing w:after="0" w:line="177"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The Company’s press release contains non-GAAP financial measures. Generally, a non-GAAP financial measure is a numerical measure of a company’s performance, financial position, or cash flows that either excludes or includes amounts that are not normally excluded or included in the most directly comparable measure calculated and presented in accordance with United States generally accepted accounting principles, or GAAP. Pursuant to the requirements of Regulation G, the Company has provided within the press release quantitative reconciliations of certain non-GAAP financial measures to the most directly comparable GAAP financial measures.</w:t>
      </w:r>
    </w:p>
    <w:p>
      <w:pPr>
        <w:spacing w:after="0" w:line="186"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color w:val="auto"/>
        </w:rPr>
        <w:t>The information in this Item 2.02 (including the press release attached as Exhibit 99.1 and incorporated by reference into Item 2.02) is being furnished, not filed, for purposes of Section 18 of the Securities Exchange Act of 1934, as amended (the “Exchange Act”), is not subject to the liabilities of that section, and will not be incorporated by reference into any filing under the Exchange Act or the Securities Act of 1933, as amended (the “Securities Act”), unless specifically identified therein as being incorporated therein by reference.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7"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8"/>
          <w:szCs w:val="18"/>
          <w:color w:val="auto"/>
        </w:rPr>
        <w:t>On June 10, 2026, the Company issued a press release announcing its financial results for the fiscal quarter ended April 30, 2026. A copy of the press release is furnished as Exhibit 99.1 to this report and incorporated by reference into Item 7.01. The information set forth under Item 2.02 above regarding the press release is incorporated herein by reference.</w:t>
      </w:r>
    </w:p>
    <w:p>
      <w:pPr>
        <w:spacing w:after="0" w:line="177" w:lineRule="exact"/>
        <w:rPr>
          <w:sz w:val="20"/>
          <w:szCs w:val="20"/>
          <w:color w:val="auto"/>
        </w:rPr>
      </w:pPr>
    </w:p>
    <w:p>
      <w:pPr>
        <w:jc w:val="both"/>
        <w:ind w:right="60"/>
        <w:spacing w:after="0" w:line="264" w:lineRule="auto"/>
        <w:rPr>
          <w:sz w:val="20"/>
          <w:szCs w:val="20"/>
          <w:color w:val="auto"/>
        </w:rPr>
      </w:pPr>
      <w:r>
        <w:rPr>
          <w:rFonts w:ascii="Times New Roman" w:cs="Times New Roman" w:eastAsia="Times New Roman" w:hAnsi="Times New Roman"/>
          <w:sz w:val="18"/>
          <w:szCs w:val="18"/>
          <w:color w:val="auto"/>
        </w:rPr>
        <w:t>The information in this Item 7.01 (including the press release attached as Exhibit 99.1 and incorporated by reference into Item 7.01) is being furnished, not filed, for purposes of Section 18 of the Exchange Act, is not subject to the liabilities of that section, and will not be incorporated by reference into any filing under the Exchange Act or the Securities Act unless specifically identified therein as being incorporated therein by reference.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Forward-Looking Statements</w:t>
      </w:r>
    </w:p>
    <w:p>
      <w:pPr>
        <w:spacing w:after="0" w:line="225"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7"/>
          <w:szCs w:val="17"/>
          <w:color w:val="auto"/>
        </w:rPr>
        <w:t>Certain of the statements contained in this report should be considered forward-looking statements. These forward-looking statements may be identified by words such as “may,” “will,” “expect,” “intend,” “anticipate,” “believe,” “estimate,” “plan,” “project,” “could,” “should,” “would,” “continue,” “seek,” “target,” “guidance,” “outlook,” “if current trends continue,” “optimistic,” “forecast” and other similar words. Such statements include, but are not limited to, statements about the Company’s plans, objectives, expectations, intentions, estimates and strategies for the future, and other statements that are not historical facts. These forward-looking statements are based on the Company’s current objectives, beliefs and expectations, and they are subject to significant risks and uncertainties that may cause actual results and financial position and timing of certain events to differ materially from the information in the forward-looking statements. These risks and uncertainties include, but are not limited to, those set forth in the Company’s Annual Report on Form 10-K (especially in Part II, Item 7. Management’s Discussion and Analysis of Financial Condition and Results of Operations) and Quarterly Reports on Form 10-Q, filed with the Securities and Exchange Commission (the “SEC”), and other risks and uncertainties listed from time to time in the Company’s other filings with the SEC. There may be other factors of which the Company is not currently aware that may affect matters discussed in the forward-looking statements and may also cause actual results to differ materially from those discussed. The Company does not assume any obligation to publicly update or supplement any forward-looking statement to reflect actual results, changes in assumptions or changes in other factors affecting these forward-looking statements other than as required by law. Any forward-looking statements speak only as of the date hereof or as of the dates indicated in the statement.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Exhibit Number</w:t>
            </w:r>
          </w:p>
        </w:tc>
        <w:tc>
          <w:tcPr>
            <w:tcW w:w="740" w:type="dxa"/>
            <w:vAlign w:val="bottom"/>
          </w:tcPr>
          <w:p>
            <w:pPr>
              <w:spacing w:after="0"/>
              <w:rPr>
                <w:sz w:val="18"/>
                <w:szCs w:val="18"/>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195"/>
        </w:trPr>
        <w:tc>
          <w:tcPr>
            <w:tcW w:w="20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(d) Exhibits.</w:t>
            </w:r>
          </w:p>
        </w:tc>
        <w:tc>
          <w:tcPr>
            <w:tcW w:w="12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16"/>
                <w:szCs w:val="16"/>
                <w:color w:val="auto"/>
              </w:rPr>
            </w:pPr>
          </w:p>
        </w:tc>
        <w:tc>
          <w:tcPr>
            <w:tcW w:w="4200" w:type="dxa"/>
            <w:vAlign w:val="bottom"/>
            <w:tcBorders>
              <w:bottom w:val="single" w:sz="8" w:color="0000EE"/>
            </w:tcBorders>
            <w:gridSpan w:val="2"/>
          </w:tcPr>
          <w:p>
            <w:pPr>
              <w:spacing w:after="0" w:line="195" w:lineRule="exact"/>
              <w:rPr>
                <w:sz w:val="20"/>
                <w:szCs w:val="20"/>
                <w:color w:val="auto"/>
              </w:rPr>
            </w:pPr>
            <w:r>
              <w:rPr>
                <w:rFonts w:ascii="Times New Roman" w:cs="Times New Roman" w:eastAsia="Times New Roman" w:hAnsi="Times New Roman"/>
                <w:sz w:val="18"/>
                <w:szCs w:val="18"/>
                <w:color w:val="0000EE"/>
                <w:w w:val="98"/>
              </w:rPr>
              <w:t>MIND Technology, Inc. press release dated June 10, 2026.</w:t>
            </w:r>
          </w:p>
        </w:tc>
        <w:tc>
          <w:tcPr>
            <w:tcW w:w="3040" w:type="dxa"/>
            <w:vAlign w:val="bottom"/>
          </w:tcPr>
          <w:p>
            <w:pPr>
              <w:spacing w:after="0"/>
              <w:rPr>
                <w:sz w:val="16"/>
                <w:szCs w:val="16"/>
                <w:color w:val="auto"/>
              </w:rPr>
            </w:pPr>
          </w:p>
        </w:tc>
      </w:tr>
      <w:tr>
        <w:trPr>
          <w:trHeight w:val="236"/>
        </w:trPr>
        <w:tc>
          <w:tcPr>
            <w:tcW w:w="2000" w:type="dxa"/>
            <w:vAlign w:val="bottom"/>
          </w:tcPr>
          <w:p>
            <w:pPr>
              <w:spacing w:after="0"/>
              <w:rPr>
                <w:sz w:val="20"/>
                <w:szCs w:val="20"/>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40" w:type="dxa"/>
            <w:vAlign w:val="bottom"/>
          </w:tcPr>
          <w:p>
            <w:pPr>
              <w:spacing w:after="0"/>
              <w:rPr>
                <w:sz w:val="20"/>
                <w:szCs w:val="20"/>
                <w:color w:val="auto"/>
              </w:rPr>
            </w:pPr>
          </w:p>
        </w:tc>
        <w:tc>
          <w:tcPr>
            <w:tcW w:w="7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1"/>
        </w:trPr>
        <w:tc>
          <w:tcPr>
            <w:tcW w:w="20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4" w:right="33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7"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MIND Technology, Inc.</w:t>
      </w:r>
    </w:p>
    <w:p>
      <w:pPr>
        <w:spacing w:after="0" w:line="221" w:lineRule="exact"/>
        <w:rPr>
          <w:sz w:val="20"/>
          <w:szCs w:val="20"/>
          <w:color w:val="auto"/>
        </w:rPr>
      </w:pPr>
    </w:p>
    <w:p>
      <w:pPr>
        <w:ind w:left="1260"/>
        <w:spacing w:after="0"/>
        <w:tabs>
          <w:tab w:leader="none" w:pos="6060" w:val="left"/>
          <w:tab w:leader="none" w:pos="6500" w:val="left"/>
        </w:tabs>
        <w:rPr>
          <w:sz w:val="20"/>
          <w:szCs w:val="20"/>
          <w:color w:val="auto"/>
        </w:rPr>
      </w:pPr>
      <w:r>
        <w:rPr>
          <w:rFonts w:ascii="Times New Roman" w:cs="Times New Roman" w:eastAsia="Times New Roman" w:hAnsi="Times New Roman"/>
          <w:sz w:val="18"/>
          <w:szCs w:val="18"/>
          <w:i w:val="1"/>
          <w:iCs w:val="1"/>
          <w:color w:val="auto"/>
        </w:rPr>
        <w:t>June 10, 2026</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Robert P. Capps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4142740</wp:posOffset>
            </wp:positionH>
            <wp:positionV relativeFrom="paragraph">
              <wp:posOffset>17780</wp:posOffset>
            </wp:positionV>
            <wp:extent cx="29946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94660" cy="8255"/>
                    </a:xfrm>
                    <a:prstGeom prst="rect">
                      <a:avLst/>
                    </a:prstGeom>
                    <a:noFill/>
                  </pic:spPr>
                </pic:pic>
              </a:graphicData>
            </a:graphic>
          </wp:anchor>
        </w:drawing>
      </w:r>
    </w:p>
    <w:p>
      <w:pPr>
        <w:spacing w:after="0" w:line="216"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Name: Robert P. Capps</w:t>
      </w:r>
    </w:p>
    <w:p>
      <w:pPr>
        <w:spacing w:after="0" w:line="29"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18"/>
          <w:szCs w:val="18"/>
          <w:i w:val="1"/>
          <w:iCs w:val="1"/>
          <w:color w:val="auto"/>
        </w:rPr>
        <w:t>Title: President and Chief Executive Officer</w:t>
      </w:r>
    </w:p>
    <w:p>
      <w:pPr>
        <w:sectPr>
          <w:pgSz w:w="11900" w:h="16838" w:orient="portrait"/>
          <w:cols w:equalWidth="0" w:num="1">
            <w:col w:w="11160"/>
          </w:cols>
          <w:pgMar w:left="320" w:top="574" w:right="4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96"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32"/>
          <w:szCs w:val="32"/>
          <w:b w:val="1"/>
          <w:bCs w:val="1"/>
          <w:i w:val="1"/>
          <w:i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-201930</wp:posOffset>
            </wp:positionV>
            <wp:extent cx="2047875" cy="767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47875" cy="76771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7"/>
          <w:szCs w:val="17"/>
          <w:color w:val="auto"/>
        </w:rPr>
        <w:t>Contacts: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Rob Capps, President &amp; CEO</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MIND Technology, Inc.</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281-353-4475</w:t>
      </w:r>
    </w:p>
    <w:p>
      <w:pPr>
        <w:spacing w:after="0" w:line="200" w:lineRule="exact"/>
        <w:rPr>
          <w:sz w:val="20"/>
          <w:szCs w:val="20"/>
          <w:color w:val="auto"/>
        </w:rPr>
      </w:pPr>
    </w:p>
    <w:p>
      <w:pPr>
        <w:sectPr>
          <w:pgSz w:w="11900" w:h="16838" w:orient="portrait"/>
          <w:cols w:equalWidth="0" w:num="2">
            <w:col w:w="7260" w:space="720"/>
            <w:col w:w="3260"/>
          </w:cols>
          <w:pgMar w:left="320" w:top="117" w:right="339" w:bottom="1440" w:gutter="0" w:footer="0" w:header="0"/>
          <w:type w:val="continuous"/>
        </w:sectPr>
      </w:pPr>
    </w:p>
    <w:p>
      <w:pPr>
        <w:spacing w:after="0" w:line="4"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Ken Dennard / Zach Vaughan</w:t>
      </w:r>
    </w:p>
    <w:p>
      <w:pPr>
        <w:spacing w:after="0" w:line="2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7"/>
          <w:szCs w:val="17"/>
          <w:color w:val="auto"/>
        </w:rPr>
        <w:t>Dennard Lascar Investor Relations</w:t>
      </w:r>
    </w:p>
    <w:p>
      <w:pPr>
        <w:spacing w:after="0" w:line="20"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713-529-6600</w:t>
      </w:r>
    </w:p>
    <w:p>
      <w:pPr>
        <w:spacing w:after="0" w:line="8"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MIND@dennardlascar.com</w:t>
      </w:r>
    </w:p>
    <w:p>
      <w:pPr>
        <w:sectPr>
          <w:pgSz w:w="11900" w:h="16838" w:orient="portrait"/>
          <w:cols w:equalWidth="0" w:num="1">
            <w:col w:w="11240"/>
          </w:cols>
          <w:pgMar w:left="320" w:top="117" w:right="339" w:bottom="1440" w:gutter="0" w:footer="0" w:header="0"/>
          <w:type w:val="continuous"/>
        </w:sectPr>
      </w:pP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MIND TECHNOLOGY, INC. REPORTS</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FISCAL 2027 FIRST QUARTER RESULTS</w:t>
      </w:r>
    </w:p>
    <w:p>
      <w:pPr>
        <w:spacing w:after="0" w:line="200" w:lineRule="exact"/>
        <w:rPr>
          <w:sz w:val="20"/>
          <w:szCs w:val="20"/>
          <w:color w:val="auto"/>
        </w:rPr>
      </w:pPr>
    </w:p>
    <w:p>
      <w:pPr>
        <w:spacing w:after="0" w:line="238" w:lineRule="exact"/>
        <w:rPr>
          <w:sz w:val="20"/>
          <w:szCs w:val="20"/>
          <w:color w:val="auto"/>
        </w:rPr>
      </w:pPr>
    </w:p>
    <w:p>
      <w:pPr>
        <w:ind w:right="620" w:firstLine="645"/>
        <w:spacing w:after="0" w:line="284" w:lineRule="auto"/>
        <w:rPr>
          <w:sz w:val="20"/>
          <w:szCs w:val="20"/>
          <w:color w:val="auto"/>
        </w:rPr>
      </w:pPr>
      <w:r>
        <w:rPr>
          <w:rFonts w:ascii="Times New Roman" w:cs="Times New Roman" w:eastAsia="Times New Roman" w:hAnsi="Times New Roman"/>
          <w:sz w:val="18"/>
          <w:szCs w:val="18"/>
          <w:b w:val="1"/>
          <w:bCs w:val="1"/>
          <w:color w:val="auto"/>
        </w:rPr>
        <w:t xml:space="preserve">THE WOODLANDS, TX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June 10, 2026 </w:t>
      </w:r>
      <w:r>
        <w:rPr>
          <w:rFonts w:ascii="Times New Roman" w:cs="Times New Roman" w:eastAsia="Times New Roman" w:hAnsi="Times New Roman"/>
          <w:sz w:val="18"/>
          <w:szCs w:val="18"/>
          <w:color w:val="auto"/>
        </w:rPr>
        <w:t>– MIND Technology, Inc. (NASDAQ: MIND) (“MIND” or the “Company”) today announced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results for its fiscal 2027 first quarter ended April 30, 2026.</w:t>
      </w:r>
    </w:p>
    <w:p>
      <w:pPr>
        <w:spacing w:after="0" w:line="159" w:lineRule="exact"/>
        <w:rPr>
          <w:sz w:val="20"/>
          <w:szCs w:val="20"/>
          <w:color w:val="auto"/>
        </w:rPr>
      </w:pPr>
    </w:p>
    <w:p>
      <w:pPr>
        <w:ind w:right="320" w:firstLine="645"/>
        <w:spacing w:after="0" w:line="280" w:lineRule="auto"/>
        <w:rPr>
          <w:sz w:val="20"/>
          <w:szCs w:val="20"/>
          <w:color w:val="auto"/>
        </w:rPr>
      </w:pPr>
      <w:r>
        <w:rPr>
          <w:rFonts w:ascii="Times New Roman" w:cs="Times New Roman" w:eastAsia="Times New Roman" w:hAnsi="Times New Roman"/>
          <w:sz w:val="18"/>
          <w:szCs w:val="18"/>
          <w:color w:val="auto"/>
        </w:rPr>
        <w:t>Revenues for the first quarter of fiscal 2027 were approximately $9.7 million compared to $9.8 million for the fourth quarter of fiscal 2026 and $7.9 million for the first quarter of fiscal 2026.</w:t>
      </w:r>
    </w:p>
    <w:p>
      <w:pPr>
        <w:spacing w:after="0" w:line="162" w:lineRule="exact"/>
        <w:rPr>
          <w:sz w:val="20"/>
          <w:szCs w:val="20"/>
          <w:color w:val="auto"/>
        </w:rPr>
      </w:pPr>
    </w:p>
    <w:p>
      <w:pPr>
        <w:ind w:right="20" w:firstLine="645"/>
        <w:spacing w:after="0" w:line="256" w:lineRule="auto"/>
        <w:rPr>
          <w:sz w:val="20"/>
          <w:szCs w:val="20"/>
          <w:color w:val="auto"/>
        </w:rPr>
      </w:pPr>
      <w:r>
        <w:rPr>
          <w:rFonts w:ascii="Times New Roman" w:cs="Times New Roman" w:eastAsia="Times New Roman" w:hAnsi="Times New Roman"/>
          <w:sz w:val="18"/>
          <w:szCs w:val="18"/>
          <w:color w:val="auto"/>
        </w:rPr>
        <w:t>The Company reported operating income of $14,000 for the first quarter of fiscal 2027 compared to $78,000 for the fourth quarter of fiscal 2026 and an operating loss of $658,000 for the first quarter of fiscal 2026. Net loss for the first quarter of fiscal 2027 amounted to $411,000, or a loss of $0.05 per share, compared to a net loss of $271,000, or a loss of $0.03 per share, for the fourth quarter of fiscal 2026 and a net loss of $970,000, or a loss of $0.12 per share, for the first quarter of fiscal 2026. In computing net loss per common share, approximately 9,089,000 shares were outstanding for the first quarter of fiscal 2027, compared to 9,040,000 shares for the fourth quarter of fiscal 2026, and 7,969,000 shares during the first quarter of fiscal 2026.</w:t>
      </w:r>
    </w:p>
    <w:p>
      <w:pPr>
        <w:spacing w:after="0" w:line="186" w:lineRule="exact"/>
        <w:rPr>
          <w:sz w:val="20"/>
          <w:szCs w:val="20"/>
          <w:color w:val="auto"/>
        </w:rPr>
      </w:pPr>
    </w:p>
    <w:p>
      <w:pPr>
        <w:ind w:right="160" w:firstLine="645"/>
        <w:spacing w:after="0" w:line="259" w:lineRule="auto"/>
        <w:rPr>
          <w:sz w:val="20"/>
          <w:szCs w:val="20"/>
          <w:color w:val="auto"/>
        </w:rPr>
      </w:pPr>
      <w:r>
        <w:rPr>
          <w:rFonts w:ascii="Times New Roman" w:cs="Times New Roman" w:eastAsia="Times New Roman" w:hAnsi="Times New Roman"/>
          <w:sz w:val="18"/>
          <w:szCs w:val="18"/>
          <w:color w:val="auto"/>
        </w:rPr>
        <w:t xml:space="preserve">Adjusted EBITDA for the first quarter of fiscal 2027 was $811,000 compared to Adjusted EBITDA of $1.1 million for the fourth quarter of fiscal 2026 and negative Adjusted EBITDA of $179,000 for the first quarter of fiscal 2026. </w:t>
      </w:r>
      <w:r>
        <w:rPr>
          <w:rFonts w:ascii="Times New Roman" w:cs="Times New Roman" w:eastAsia="Times New Roman" w:hAnsi="Times New Roman"/>
          <w:sz w:val="18"/>
          <w:szCs w:val="18"/>
          <w:i w:val="1"/>
          <w:iCs w:val="1"/>
          <w:color w:val="auto"/>
        </w:rPr>
        <w:t>Adjusted EBITDA, which is a non-GAAP measure, is defined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reconciled to reported net income (loss) and cash provided by (used in) operating activities in the accompanying financial tables. These are the most directly comparable financial measures calculated and presented in accordance with United States generally accepted accounting principles, or GAAP</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160" w:firstLine="645"/>
        <w:spacing w:after="0" w:line="280" w:lineRule="auto"/>
        <w:rPr>
          <w:sz w:val="20"/>
          <w:szCs w:val="20"/>
          <w:color w:val="auto"/>
        </w:rPr>
      </w:pPr>
      <w:r>
        <w:rPr>
          <w:rFonts w:ascii="Times New Roman" w:cs="Times New Roman" w:eastAsia="Times New Roman" w:hAnsi="Times New Roman"/>
          <w:sz w:val="18"/>
          <w:szCs w:val="18"/>
          <w:color w:val="auto"/>
        </w:rPr>
        <w:t>The backlog of Marine Technology Product orders related to our Seamap segment was approximately $7.6 million as of April 30, 2026 compared to $13.9 million at January 31, 2026 and $21.1 million at April 30, 2025.</w:t>
      </w:r>
    </w:p>
    <w:p>
      <w:pPr>
        <w:spacing w:after="0" w:line="162" w:lineRule="exact"/>
        <w:rPr>
          <w:sz w:val="20"/>
          <w:szCs w:val="20"/>
          <w:color w:val="auto"/>
        </w:rPr>
      </w:pPr>
    </w:p>
    <w:p>
      <w:pPr>
        <w:jc w:val="both"/>
        <w:ind w:right="580" w:firstLine="645"/>
        <w:spacing w:after="0" w:line="264" w:lineRule="auto"/>
        <w:rPr>
          <w:sz w:val="20"/>
          <w:szCs w:val="20"/>
          <w:color w:val="auto"/>
        </w:rPr>
      </w:pPr>
      <w:r>
        <w:rPr>
          <w:rFonts w:ascii="Times New Roman" w:cs="Times New Roman" w:eastAsia="Times New Roman" w:hAnsi="Times New Roman"/>
          <w:sz w:val="18"/>
          <w:szCs w:val="18"/>
          <w:color w:val="auto"/>
        </w:rPr>
        <w:t>Rob Capps, MIND’s President and Chief Executive Officer, stated, “Our first quarter results were consistent with our expectations, and we delivered another quarter of positive Adjusted EBITDA. Our after-market business remains a steady contributor that made up about 50% of our total revenue in this most recent quarter. This component of our business continues to provide a solid base of revenue.</w:t>
      </w:r>
    </w:p>
    <w:p>
      <w:pPr>
        <w:spacing w:after="0" w:line="177" w:lineRule="exact"/>
        <w:rPr>
          <w:sz w:val="20"/>
          <w:szCs w:val="20"/>
          <w:color w:val="auto"/>
        </w:rPr>
      </w:pPr>
    </w:p>
    <w:p>
      <w:pPr>
        <w:ind w:right="20" w:firstLine="645"/>
        <w:spacing w:after="0" w:line="253" w:lineRule="auto"/>
        <w:rPr>
          <w:sz w:val="20"/>
          <w:szCs w:val="20"/>
          <w:color w:val="auto"/>
        </w:rPr>
      </w:pPr>
      <w:r>
        <w:rPr>
          <w:rFonts w:ascii="Times New Roman" w:cs="Times New Roman" w:eastAsia="Times New Roman" w:hAnsi="Times New Roman"/>
          <w:sz w:val="18"/>
          <w:szCs w:val="18"/>
          <w:color w:val="auto"/>
        </w:rPr>
        <w:t>“As we discussed last quarter, near-term visibility across our markets remains impacted by significant macro uncertainty, yet our conviction in MIND's long-term prospects remains strong. Certain of our customers have seen an impact on their operations from the on-going conflict in the Middle East. Additionally, we believe that overall economic, security and political uncertainties are causing many, if not all, companies within the marine technology industry to be cautious in the near term. In our opinion, these factors are major contributors to our reduced near-term visibility. While we will likely see some operational softness in the very near-term, we believe the longer term outlook for the marine exploration and survey market is positive. Some of our customers are reporting increasing backlogs and many industry commentators predict a strong resurgence in marine exploration activity. These factors bode well for MIND’s longer-term outlook. Our financial position and liquidity remain strong. We believe we are well positioned to weather any near-term challenges and to take advantage of emerging opportunities.</w:t>
      </w:r>
    </w:p>
    <w:p>
      <w:pPr>
        <w:spacing w:after="0" w:line="189" w:lineRule="exact"/>
        <w:rPr>
          <w:sz w:val="20"/>
          <w:szCs w:val="20"/>
          <w:color w:val="auto"/>
        </w:rPr>
      </w:pPr>
    </w:p>
    <w:p>
      <w:pPr>
        <w:jc w:val="both"/>
        <w:ind w:right="100" w:firstLine="645"/>
        <w:spacing w:after="0" w:line="264" w:lineRule="auto"/>
        <w:rPr>
          <w:sz w:val="20"/>
          <w:szCs w:val="20"/>
          <w:color w:val="auto"/>
        </w:rPr>
      </w:pPr>
      <w:r>
        <w:rPr>
          <w:rFonts w:ascii="Times New Roman" w:cs="Times New Roman" w:eastAsia="Times New Roman" w:hAnsi="Times New Roman"/>
          <w:sz w:val="18"/>
          <w:szCs w:val="18"/>
          <w:color w:val="auto"/>
        </w:rPr>
        <w:t>“As we have stated previously, we are committed to enhancing stockholder value and are open to a variety of means to accomplish that objective. We continue to identify and evaluate a number of such opportunities and intend to maintain our disciplined approach. MIND has both the resources and the flexibility to act quickly and efficiently when the right opportunity arises,” concluded Capps.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619125</wp:posOffset>
            </wp:positionV>
            <wp:extent cx="71329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7" w:lineRule="exact"/>
        <w:rPr>
          <w:sz w:val="20"/>
          <w:szCs w:val="20"/>
          <w:color w:val="auto"/>
        </w:rPr>
      </w:pPr>
    </w:p>
    <w:p>
      <w:pPr>
        <w:ind w:left="20" w:right="120" w:firstLine="645"/>
        <w:spacing w:after="0" w:line="255" w:lineRule="auto"/>
        <w:rPr>
          <w:sz w:val="20"/>
          <w:szCs w:val="20"/>
          <w:color w:val="auto"/>
        </w:rPr>
      </w:pPr>
      <w:r>
        <w:rPr>
          <w:rFonts w:ascii="Times New Roman" w:cs="Times New Roman" w:eastAsia="Times New Roman" w:hAnsi="Times New Roman"/>
          <w:sz w:val="18"/>
          <w:szCs w:val="18"/>
          <w:color w:val="auto"/>
        </w:rPr>
        <w:t>Management has scheduled a conference call for Thursday, June 11, 2026 at 9:00 a.m. Eastern Time (8:00 a.m. Central Time) to discuss the Company’s fiscal 2027 first quarter results. To access the call, please dial (412) 902-0030 and ask for the MIND Technology call at least 10 minutes prior to the start time. Investors may also listen to the conference live on the MIND Technology website, http://mind-technology.com, by logging onto the site and clicking “Investor Relations”. A telephonic replay of the conference call will be available through June 18, 2026, and may be accessed by calling (201) 612-7415 and using passcode 13760778 #. A webcast archive will also be available at http://mind-technology.com shortly after the call and will be accessible for approximately 90 days. For more information, please contact Dennard Lascar Investor Relations by email at MIND@dennardlascar.com.</w:t>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ABOUT MIND TECHNOLOGY</w:t>
      </w:r>
    </w:p>
    <w:p>
      <w:pPr>
        <w:spacing w:after="0" w:line="227" w:lineRule="exact"/>
        <w:rPr>
          <w:sz w:val="20"/>
          <w:szCs w:val="20"/>
          <w:color w:val="auto"/>
        </w:rPr>
      </w:pPr>
    </w:p>
    <w:p>
      <w:pPr>
        <w:ind w:left="20" w:right="320" w:firstLine="645"/>
        <w:spacing w:after="0" w:line="264" w:lineRule="auto"/>
        <w:rPr>
          <w:sz w:val="20"/>
          <w:szCs w:val="20"/>
          <w:color w:val="auto"/>
        </w:rPr>
      </w:pPr>
      <w:r>
        <w:rPr>
          <w:rFonts w:ascii="Times New Roman" w:cs="Times New Roman" w:eastAsia="Times New Roman" w:hAnsi="Times New Roman"/>
          <w:sz w:val="18"/>
          <w:szCs w:val="18"/>
          <w:color w:val="auto"/>
        </w:rPr>
        <w:t>MIND Technology, Inc. provides technology to the oceanographic, hydrographic, defense, seismic and security industries. Headquartered in The Woodlands, Texas, MIND has a global presence with key operating locations in the United States, Singapore, Malaysia, and the United Kingdom. Its Seamap unit designs, manufactures and sells specialized, high performance, marine exploration and survey equipment.</w:t>
      </w:r>
    </w:p>
    <w:p>
      <w:pPr>
        <w:spacing w:after="0" w:line="1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Forward-looking Statements</w:t>
      </w:r>
    </w:p>
    <w:p>
      <w:pPr>
        <w:spacing w:after="0" w:line="225" w:lineRule="exact"/>
        <w:rPr>
          <w:sz w:val="20"/>
          <w:szCs w:val="20"/>
          <w:color w:val="auto"/>
        </w:rPr>
      </w:pPr>
    </w:p>
    <w:p>
      <w:pPr>
        <w:jc w:val="both"/>
        <w:ind w:left="20" w:right="10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Certain statements and information in this press release concerning results for the quarter ended April 30, 2026 may constitute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within the meaning of the Private Securities Litigation Reform Act of 1995. All statements contained in this press release other than statements of historical fact, including statements regarding our future results of operations and financial position, our business strategy and plans, and our objectives for future operations, are forward-looking statements.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would,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could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or other similar expressions are intended to identify forward-looking statements, which are generally not historical in nature. These forward-looking statements are based on our current expectations and beliefs concerning future developments and their potential effect on us. While management believes that these forward-looking statements are reasonable as and when made, there can be no assurance that future developments affecting us will be those that we anticipate. All comments concerning our expectations for future revenues and operating results are based on our forecasts of our existing operations and do not include the potential impact of any future acquisitions or dispositions. Our forward-looking statements involve significant risks and uncertainties (some of which are beyond our control) and assumptions that could cause actual results to differ materially from our historical experience and our present expectations or projections. These risks and uncertainties include, without limitation, reductions in our customers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capital budgets, our own capital budget, limitations on the availability of capital or higher costs of capital, and volatility in commodity prices for oil and natural gas.</w:t>
      </w:r>
    </w:p>
    <w:p>
      <w:pPr>
        <w:spacing w:after="0" w:line="187"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i w:val="1"/>
          <w:iCs w:val="1"/>
          <w:color w:val="auto"/>
        </w:rPr>
        <w:t>For additional information regarding known material factors that could cause our actual results to differ from our projected results, please see our filings wit the SEC, including our Annual Report on Form 10-K, Quarterly Reports on Form 10-Q and Current Reports on Form 8-K.</w:t>
      </w:r>
    </w:p>
    <w:p>
      <w:pPr>
        <w:spacing w:after="0" w:line="15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i w:val="1"/>
          <w:iCs w:val="1"/>
          <w:color w:val="auto"/>
        </w:rPr>
        <w:t>Readers are cautioned not to place undue reliance on forward-looking statements, which speak only as of the date hereof. We undertake no obligation t publicly update or revise any forward-looking statements after the date they are made, unless required by law, whether as a result of new information, futur events or otherwise. All forward-looking statements included in this press release are expressly qualified in their entirety by the cautionary statement contained or referred to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Non-GAAP Financial Measures</w:t>
      </w:r>
    </w:p>
    <w:p>
      <w:pPr>
        <w:spacing w:after="0" w:line="22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i w:val="1"/>
          <w:iCs w:val="1"/>
          <w:color w:val="auto"/>
        </w:rPr>
        <w:t>Certain statements and information in this press release contain non-GAAP financial measures. Generally, a non-GAAP financial measure is a numerica measure of a company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 performance, financial position, or cash flows that either excludes or includes amounts that are not normally excluded or included i the most directly comparable measure calculated and presented in accordance with United States generally accepted accounting principles, or GAAP. Company management believes that these non-GAAP financial measures, when considered together with the GAAP financial measures, provide informatio that is useful to investors in understanding period-over-period operating results separate and apart from items that may, or could, have a disproportionatel positive or negative impact on results in any particular period. Company management also believes that these non-GAAP financial measures enhance th ability of investors to analyze the Company's business trends and to understand the Company's performance. In addition, the Company may utilize non-GAAP financial measures as guides in its forecasting, budgeting, and long-term planning processes and to measure operating performance for some managemen compensation purposes. Any analysis of non-GAAP financial measures should be used only in conjunction with results presented in accordance with GAAP.</w:t>
      </w:r>
    </w:p>
    <w:p>
      <w:pPr>
        <w:spacing w:after="0" w:line="17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i w:val="1"/>
          <w:iCs w:val="1"/>
          <w:color w:val="auto"/>
        </w:rPr>
        <w:t>Adjusted EBITDA, which is a non-GAAP measure, is defined and reconciled to reported net income from continuing operations and cash used in operatin activities in the accompanying financial tables. These are the most directly comparable financial measures calculated and presented in accordance wit United States generally accepted accounting principles, or GAAP.</w:t>
      </w:r>
    </w:p>
    <w:p>
      <w:pPr>
        <w:spacing w:after="0" w:line="1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i w:val="1"/>
          <w:iCs w:val="1"/>
          <w:color w:val="auto"/>
        </w:rPr>
        <w:t>Reconciliation of Backlog, which is a non-GAAP financial measure, is not included in this press release due to the inherent difficulty and impracticality o quantifying certain amounts that would be required to calculate the most directly comparable GAAP financial measures.</w:t>
      </w:r>
    </w:p>
    <w:p>
      <w:pPr>
        <w:spacing w:after="0" w:line="37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i w:val="1"/>
          <w:iCs w:val="1"/>
          <w:color w:val="auto"/>
        </w:rPr>
        <w:t>Tables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376555</wp:posOffset>
            </wp:positionV>
            <wp:extent cx="713295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360"/>
          </w:cols>
          <w:pgMar w:left="300" w:top="574" w:right="2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April 30, 2026</w:t>
            </w:r>
          </w:p>
        </w:tc>
        <w:tc>
          <w:tcPr>
            <w:tcW w:w="100" w:type="dxa"/>
            <w:vAlign w:val="bottom"/>
          </w:tcPr>
          <w:p>
            <w:pPr>
              <w:spacing w:after="0"/>
              <w:rPr>
                <w:sz w:val="20"/>
                <w:szCs w:val="20"/>
                <w:color w:val="auto"/>
              </w:rPr>
            </w:pPr>
          </w:p>
        </w:tc>
        <w:tc>
          <w:tcPr>
            <w:tcW w:w="15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January 31, 2026</w:t>
            </w:r>
          </w:p>
        </w:tc>
      </w:tr>
      <w:tr>
        <w:trPr>
          <w:trHeight w:val="208"/>
        </w:trPr>
        <w:tc>
          <w:tcPr>
            <w:tcW w:w="8000" w:type="dxa"/>
            <w:vAlign w:val="bottom"/>
            <w:shd w:val="clear" w:color="auto" w:fill="CCEEFF"/>
          </w:tcPr>
          <w:p>
            <w:pPr>
              <w:ind w:left="5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17,656</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19,050</w:t>
            </w:r>
          </w:p>
        </w:tc>
      </w:tr>
      <w:tr>
        <w:trPr>
          <w:trHeight w:val="197"/>
        </w:trPr>
        <w:tc>
          <w:tcPr>
            <w:tcW w:w="8000" w:type="dxa"/>
            <w:vAlign w:val="bottom"/>
          </w:tcPr>
          <w:p>
            <w:pPr>
              <w:ind w:left="340"/>
              <w:spacing w:after="0" w:line="197" w:lineRule="exact"/>
              <w:rPr>
                <w:sz w:val="20"/>
                <w:szCs w:val="20"/>
                <w:color w:val="auto"/>
              </w:rPr>
            </w:pPr>
            <w:r>
              <w:rPr>
                <w:rFonts w:ascii="Times New Roman" w:cs="Times New Roman" w:eastAsia="Times New Roman" w:hAnsi="Times New Roman"/>
                <w:sz w:val="18"/>
                <w:szCs w:val="18"/>
                <w:color w:val="auto"/>
              </w:rPr>
              <w:t>Accounts receivable, net of allowance for credit losses of $332 at each of April 30, 2026 and January 31,</w:t>
            </w: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3"/>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20"/>
                <w:szCs w:val="20"/>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16,515</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12,570</w:t>
            </w:r>
          </w:p>
        </w:tc>
      </w:tr>
      <w:tr>
        <w:trPr>
          <w:trHeight w:val="215"/>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10,977</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11,150</w:t>
            </w:r>
          </w:p>
        </w:tc>
      </w:tr>
      <w:tr>
        <w:trPr>
          <w:trHeight w:val="215"/>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1,593</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2,114</w:t>
            </w:r>
          </w:p>
        </w:tc>
      </w:tr>
      <w:tr>
        <w:trPr>
          <w:trHeight w:val="208"/>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46,741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44,884</w:t>
            </w: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1,235</w:t>
            </w:r>
          </w:p>
        </w:tc>
      </w:tr>
      <w:tr>
        <w:trPr>
          <w:trHeight w:val="215"/>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910</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1,092</w:t>
            </w: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1,614</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1,753</w:t>
            </w:r>
          </w:p>
        </w:tc>
      </w:tr>
      <w:tr>
        <w:trPr>
          <w:trHeight w:val="215"/>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302</w:t>
            </w:r>
          </w:p>
        </w:tc>
      </w:tr>
      <w:tr>
        <w:trPr>
          <w:trHeight w:val="208"/>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50,763</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49,266</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5"/>
        </w:trPr>
        <w:tc>
          <w:tcPr>
            <w:tcW w:w="8000" w:type="dxa"/>
            <w:vAlign w:val="bottom"/>
            <w:shd w:val="clear" w:color="auto" w:fill="CCEEFF"/>
          </w:tcPr>
          <w:p>
            <w:pPr>
              <w:ind w:left="3620"/>
              <w:spacing w:after="0" w:line="195"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5"/>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1,499</w:t>
            </w:r>
          </w:p>
        </w:tc>
        <w:tc>
          <w:tcPr>
            <w:tcW w:w="560" w:type="dxa"/>
            <w:vAlign w:val="bottom"/>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1,214</w:t>
            </w:r>
          </w:p>
        </w:tc>
      </w:tr>
      <w:tr>
        <w:trPr>
          <w:trHeight w:val="215"/>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w:t>
            </w:r>
          </w:p>
        </w:tc>
      </w:tr>
      <w:tr>
        <w:trPr>
          <w:trHeight w:val="215"/>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deposits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w:t>
            </w:r>
          </w:p>
        </w:tc>
      </w:tr>
      <w:tr>
        <w:trPr>
          <w:trHeight w:val="215"/>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2,610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1,596</w:t>
            </w:r>
          </w:p>
        </w:tc>
      </w:tr>
      <w:tr>
        <w:trPr>
          <w:trHeight w:val="215"/>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2,656</w:t>
            </w:r>
          </w:p>
        </w:tc>
      </w:tr>
      <w:tr>
        <w:trPr>
          <w:trHeight w:val="215"/>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655</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686</w:t>
            </w:r>
          </w:p>
        </w:tc>
      </w:tr>
      <w:tr>
        <w:trPr>
          <w:trHeight w:val="208"/>
        </w:trPr>
        <w:tc>
          <w:tcPr>
            <w:tcW w:w="80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8,984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7,443</w:t>
            </w: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non-current</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406</w:t>
            </w:r>
          </w:p>
        </w:tc>
      </w:tr>
      <w:tr>
        <w:trPr>
          <w:trHeight w:val="208"/>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9,239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7,849</w:t>
            </w:r>
          </w:p>
        </w:tc>
      </w:tr>
      <w:tr>
        <w:trPr>
          <w:trHeight w:val="215"/>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97"/>
        </w:trPr>
        <w:tc>
          <w:tcPr>
            <w:tcW w:w="8000" w:type="dxa"/>
            <w:vAlign w:val="bottom"/>
            <w:shd w:val="clear" w:color="auto" w:fill="CCEEFF"/>
          </w:tcPr>
          <w:p>
            <w:pPr>
              <w:ind w:left="340"/>
              <w:spacing w:after="0" w:line="197" w:lineRule="exact"/>
              <w:rPr>
                <w:sz w:val="20"/>
                <w:szCs w:val="20"/>
                <w:color w:val="auto"/>
              </w:rPr>
            </w:pPr>
            <w:r>
              <w:rPr>
                <w:rFonts w:ascii="Times New Roman" w:cs="Times New Roman" w:eastAsia="Times New Roman" w:hAnsi="Times New Roman"/>
                <w:sz w:val="18"/>
                <w:szCs w:val="18"/>
                <w:color w:val="auto"/>
              </w:rPr>
              <w:t>Common stock, $0.01 par value; 40,000 shares authorized; 9,089 shares issued and outstanding at April</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33"/>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30, 2026 and at January 31, 2026</w:t>
            </w: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w:t>
            </w:r>
          </w:p>
        </w:tc>
      </w:tr>
      <w:tr>
        <w:trPr>
          <w:trHeight w:val="215"/>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149,508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148,990</w:t>
            </w:r>
          </w:p>
        </w:tc>
      </w:tr>
      <w:tr>
        <w:trPr>
          <w:trHeight w:val="215"/>
        </w:trPr>
        <w:tc>
          <w:tcPr>
            <w:tcW w:w="8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(108,109)</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(107,698)</w:t>
            </w:r>
          </w:p>
        </w:tc>
      </w:tr>
      <w:tr>
        <w:trPr>
          <w:trHeight w:val="215"/>
        </w:trPr>
        <w:tc>
          <w:tcPr>
            <w:tcW w:w="80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gain</w:t>
            </w: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w:t>
            </w:r>
          </w:p>
        </w:tc>
      </w:tr>
      <w:tr>
        <w:trPr>
          <w:trHeight w:val="208"/>
        </w:trPr>
        <w:tc>
          <w:tcPr>
            <w:tcW w:w="8000" w:type="dxa"/>
            <w:vAlign w:val="bottom"/>
            <w:tcBorders>
              <w:bottom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41,524</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41,417</w:t>
            </w:r>
          </w:p>
        </w:tc>
      </w:tr>
      <w:tr>
        <w:trPr>
          <w:trHeight w:val="208"/>
        </w:trPr>
        <w:tc>
          <w:tcPr>
            <w:tcW w:w="8000" w:type="dxa"/>
            <w:vAlign w:val="bottom"/>
          </w:tcPr>
          <w:p>
            <w:pPr>
              <w:ind w:left="13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50,763</w:t>
            </w:r>
          </w:p>
        </w:tc>
        <w:tc>
          <w:tcPr>
            <w:tcW w:w="56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49,266</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552"/>
        </w:trPr>
        <w:tc>
          <w:tcPr>
            <w:tcW w:w="80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324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r>
      <w:tr>
        <w:trPr>
          <w:trHeight w:val="208"/>
        </w:trPr>
        <w:tc>
          <w:tcPr>
            <w:tcW w:w="606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8"/>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Sales of marine technology products</w:t>
            </w:r>
          </w:p>
        </w:tc>
        <w:tc>
          <w:tcPr>
            <w:tcW w:w="29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9,672</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7,902</w:t>
            </w:r>
          </w:p>
        </w:tc>
      </w:tr>
      <w:tr>
        <w:trPr>
          <w:trHeight w:val="208"/>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sales:</w:t>
            </w:r>
          </w:p>
        </w:tc>
        <w:tc>
          <w:tcPr>
            <w:tcW w:w="194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15"/>
        </w:trPr>
        <w:tc>
          <w:tcPr>
            <w:tcW w:w="6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Sales of marine technology products</w:t>
            </w:r>
          </w:p>
        </w:tc>
        <w:tc>
          <w:tcPr>
            <w:tcW w:w="19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5,575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4,571</w:t>
            </w:r>
          </w:p>
        </w:tc>
      </w:tr>
      <w:tr>
        <w:trPr>
          <w:trHeight w:val="208"/>
        </w:trPr>
        <w:tc>
          <w:tcPr>
            <w:tcW w:w="60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3,331</w:t>
            </w:r>
          </w:p>
        </w:tc>
      </w:tr>
      <w:tr>
        <w:trPr>
          <w:trHeight w:val="215"/>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3,384</w:t>
            </w:r>
          </w:p>
        </w:tc>
      </w:tr>
      <w:tr>
        <w:trPr>
          <w:trHeight w:val="215"/>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380</w:t>
            </w:r>
          </w:p>
        </w:tc>
      </w:tr>
      <w:tr>
        <w:trPr>
          <w:trHeight w:val="215"/>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r>
      <w:tr>
        <w:trPr>
          <w:trHeight w:val="208"/>
        </w:trPr>
        <w:tc>
          <w:tcPr>
            <w:tcW w:w="60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4,083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3,989</w:t>
            </w:r>
          </w:p>
        </w:tc>
      </w:tr>
      <w:tr>
        <w:trPr>
          <w:trHeight w:val="208"/>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1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15"/>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6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net</w:t>
            </w:r>
          </w:p>
        </w:tc>
        <w:tc>
          <w:tcPr>
            <w:tcW w:w="194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8"/>
        </w:trPr>
        <w:tc>
          <w:tcPr>
            <w:tcW w:w="60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9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08"/>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9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15"/>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9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08"/>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9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55"/>
        </w:trPr>
        <w:tc>
          <w:tcPr>
            <w:tcW w:w="6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common share - Basic and diluted</w:t>
            </w:r>
          </w:p>
        </w:tc>
        <w:tc>
          <w:tcPr>
            <w:tcW w:w="2920" w:type="dxa"/>
            <w:vAlign w:val="bottom"/>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w:t>
            </w:r>
          </w:p>
        </w:tc>
      </w:tr>
      <w:tr>
        <w:trPr>
          <w:trHeight w:val="195"/>
        </w:trPr>
        <w:tc>
          <w:tcPr>
            <w:tcW w:w="606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Shares used in computing net loss per common share:</w:t>
            </w:r>
          </w:p>
        </w:tc>
        <w:tc>
          <w:tcPr>
            <w:tcW w:w="19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r>
      <w:tr>
        <w:trPr>
          <w:trHeight w:val="215"/>
        </w:trPr>
        <w:tc>
          <w:tcPr>
            <w:tcW w:w="6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and diluted</w:t>
            </w:r>
          </w:p>
        </w:tc>
        <w:tc>
          <w:tcPr>
            <w:tcW w:w="19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9,089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7,969</w:t>
            </w:r>
          </w:p>
        </w:tc>
      </w:tr>
      <w:tr>
        <w:trPr>
          <w:trHeight w:val="20"/>
        </w:trPr>
        <w:tc>
          <w:tcPr>
            <w:tcW w:w="60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552"/>
        </w:trPr>
        <w:tc>
          <w:tcPr>
            <w:tcW w:w="60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20" w:type="dxa"/>
            <w:vAlign w:val="bottom"/>
            <w:tcBorders>
              <w:bottom w:val="single" w:sz="8" w:color="auto"/>
            </w:tcBorders>
            <w:gridSpan w:val="5"/>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r>
      <w:tr>
        <w:trPr>
          <w:trHeight w:val="208"/>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provided by operating activities:</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r>
      <w:tr>
        <w:trPr>
          <w:trHeight w:val="215"/>
        </w:trPr>
        <w:tc>
          <w:tcPr>
            <w:tcW w:w="2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3,969</w:t>
            </w: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Unbilled revenue</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r>
      <w:tr>
        <w:trPr>
          <w:trHeight w:val="215"/>
        </w:trPr>
        <w:tc>
          <w:tcPr>
            <w:tcW w:w="2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282</w:t>
            </w: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Prepaid expenses and other current and long-term assets</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5"/>
        </w:trPr>
        <w:tc>
          <w:tcPr>
            <w:tcW w:w="2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Income taxes receivable and payable</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208</w:t>
            </w: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15"/>
        </w:trPr>
        <w:tc>
          <w:tcPr>
            <w:tcW w:w="20" w:type="dxa"/>
            <w:vAlign w:val="bottom"/>
          </w:tcPr>
          <w:p>
            <w:pPr>
              <w:spacing w:after="0"/>
              <w:rPr>
                <w:sz w:val="18"/>
                <w:szCs w:val="18"/>
                <w:color w:val="auto"/>
              </w:rPr>
            </w:pPr>
          </w:p>
        </w:tc>
        <w:tc>
          <w:tcPr>
            <w:tcW w:w="79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Deferred revenue and customer deposits</w:t>
            </w:r>
          </w:p>
        </w:tc>
        <w:tc>
          <w:tcPr>
            <w:tcW w:w="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529</w:t>
            </w:r>
          </w:p>
        </w:tc>
      </w:tr>
      <w:tr>
        <w:trPr>
          <w:trHeight w:val="208"/>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4,068</w:t>
            </w:r>
          </w:p>
        </w:tc>
      </w:tr>
      <w:tr>
        <w:trPr>
          <w:trHeight w:val="208"/>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08"/>
        </w:trPr>
        <w:tc>
          <w:tcPr>
            <w:tcW w:w="20" w:type="dxa"/>
            <w:vAlign w:val="bottom"/>
          </w:tcPr>
          <w:p>
            <w:pPr>
              <w:spacing w:after="0"/>
              <w:rPr>
                <w:sz w:val="18"/>
                <w:szCs w:val="18"/>
                <w:color w:val="auto"/>
              </w:rPr>
            </w:pPr>
          </w:p>
        </w:tc>
        <w:tc>
          <w:tcPr>
            <w:tcW w:w="79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8"/>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changes in foreign exchange rates on cash and cash equivalents</w:t>
            </w:r>
          </w:p>
        </w:tc>
        <w:tc>
          <w:tcPr>
            <w:tcW w:w="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r>
      <w:tr>
        <w:trPr>
          <w:trHeight w:val="208"/>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3,836</w:t>
            </w:r>
          </w:p>
        </w:tc>
      </w:tr>
      <w:tr>
        <w:trPr>
          <w:trHeight w:val="215"/>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19,050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5,336</w:t>
            </w:r>
          </w:p>
        </w:tc>
      </w:tr>
      <w:tr>
        <w:trPr>
          <w:trHeight w:val="208"/>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940" w:type="dxa"/>
            <w:vAlign w:val="bottom"/>
            <w:gridSpan w:val="2"/>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17,656</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9,172</w:t>
            </w: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552"/>
        </w:trPr>
        <w:tc>
          <w:tcPr>
            <w:tcW w:w="20" w:type="dxa"/>
            <w:vAlign w:val="bottom"/>
          </w:tcPr>
          <w:p>
            <w:pPr>
              <w:spacing w:after="0"/>
              <w:rPr>
                <w:sz w:val="24"/>
                <w:szCs w:val="24"/>
                <w:color w:val="auto"/>
              </w:rPr>
            </w:pPr>
          </w:p>
        </w:tc>
        <w:tc>
          <w:tcPr>
            <w:tcW w:w="7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Loss and Net Cash from Operating Activities to EBITDA and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000" w:type="dxa"/>
            <w:vAlign w:val="bottom"/>
          </w:tcPr>
          <w:p>
            <w:pPr>
              <w:spacing w:after="0"/>
              <w:rPr>
                <w:sz w:val="20"/>
                <w:szCs w:val="20"/>
                <w:color w:val="auto"/>
              </w:rPr>
            </w:pPr>
          </w:p>
        </w:tc>
        <w:tc>
          <w:tcPr>
            <w:tcW w:w="3220" w:type="dxa"/>
            <w:vAlign w:val="bottom"/>
            <w:tcBorders>
              <w:bottom w:val="single" w:sz="8" w:color="auto"/>
            </w:tcBorders>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r>
      <w:tr>
        <w:trPr>
          <w:trHeight w:val="208"/>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6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2025</w:t>
            </w:r>
          </w:p>
        </w:tc>
      </w:tr>
      <w:tr>
        <w:trPr>
          <w:trHeight w:val="208"/>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Reconciliation of Net loss to EBITDA and Adjusted EBITDA</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4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(970)</w:t>
            </w:r>
          </w:p>
        </w:tc>
      </w:tr>
      <w:tr>
        <w:trPr>
          <w:trHeight w:val="215"/>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r>
      <w:tr>
        <w:trPr>
          <w:trHeight w:val="215"/>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294</w:t>
            </w:r>
          </w:p>
        </w:tc>
      </w:tr>
      <w:tr>
        <w:trPr>
          <w:trHeight w:val="208"/>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(1)</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15"/>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r>
      <w:tr>
        <w:trPr>
          <w:trHeight w:val="248"/>
        </w:trPr>
        <w:tc>
          <w:tcPr>
            <w:tcW w:w="20" w:type="dxa"/>
            <w:vAlign w:val="bottom"/>
          </w:tcPr>
          <w:p>
            <w:pPr>
              <w:spacing w:after="0"/>
              <w:rPr>
                <w:sz w:val="21"/>
                <w:szCs w:val="21"/>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(1)</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811</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195"/>
        </w:trPr>
        <w:tc>
          <w:tcPr>
            <w:tcW w:w="20" w:type="dxa"/>
            <w:vAlign w:val="bottom"/>
          </w:tcPr>
          <w:p>
            <w:pPr>
              <w:spacing w:after="0"/>
              <w:rPr>
                <w:sz w:val="16"/>
                <w:szCs w:val="16"/>
                <w:color w:val="auto"/>
              </w:rPr>
            </w:pPr>
          </w:p>
        </w:tc>
        <w:tc>
          <w:tcPr>
            <w:tcW w:w="8000" w:type="dxa"/>
            <w:vAlign w:val="bottom"/>
            <w:tcBorders>
              <w:top w:val="single" w:sz="8" w:color="CCEEFF"/>
            </w:tcBorders>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Reconciliation of Net Cash (Used in) Provided by Operating Activities to EBITDA</w:t>
            </w:r>
          </w:p>
        </w:tc>
        <w:tc>
          <w:tcPr>
            <w:tcW w:w="9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15"/>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4,068</w:t>
            </w:r>
          </w:p>
        </w:tc>
      </w:tr>
      <w:tr>
        <w:trPr>
          <w:trHeight w:val="215"/>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15"/>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5"/>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accounts receivable</w:t>
            </w:r>
          </w:p>
        </w:tc>
        <w:tc>
          <w:tcPr>
            <w:tcW w:w="9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(3,985)</w:t>
            </w:r>
          </w:p>
        </w:tc>
      </w:tr>
      <w:tr>
        <w:trPr>
          <w:trHeight w:val="215"/>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paid, net of refunds</w:t>
            </w:r>
          </w:p>
        </w:tc>
        <w:tc>
          <w:tcPr>
            <w:tcW w:w="94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r>
      <w:tr>
        <w:trPr>
          <w:trHeight w:val="215"/>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inventory</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197"/>
        </w:trPr>
        <w:tc>
          <w:tcPr>
            <w:tcW w:w="20" w:type="dxa"/>
            <w:vAlign w:val="bottom"/>
          </w:tcPr>
          <w:p>
            <w:pPr>
              <w:spacing w:after="0"/>
              <w:rPr>
                <w:sz w:val="17"/>
                <w:szCs w:val="17"/>
                <w:color w:val="auto"/>
              </w:rPr>
            </w:pPr>
          </w:p>
        </w:tc>
        <w:tc>
          <w:tcPr>
            <w:tcW w:w="8000" w:type="dxa"/>
            <w:vAlign w:val="bottom"/>
            <w:shd w:val="clear" w:color="auto" w:fill="CCEEFF"/>
          </w:tcPr>
          <w:p>
            <w:pPr>
              <w:spacing w:after="0" w:line="197" w:lineRule="exact"/>
              <w:rPr>
                <w:sz w:val="20"/>
                <w:szCs w:val="20"/>
                <w:color w:val="auto"/>
              </w:rPr>
            </w:pPr>
            <w:r>
              <w:rPr>
                <w:rFonts w:ascii="Times New Roman" w:cs="Times New Roman" w:eastAsia="Times New Roman" w:hAnsi="Times New Roman"/>
                <w:sz w:val="18"/>
                <w:szCs w:val="18"/>
                <w:color w:val="auto"/>
              </w:rPr>
              <w:t>Changes in accounts payable, accrued expenses and other current liabilities, deferred revenue and customer</w:t>
            </w:r>
          </w:p>
        </w:tc>
        <w:tc>
          <w:tcPr>
            <w:tcW w:w="9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3"/>
        </w:trPr>
        <w:tc>
          <w:tcPr>
            <w:tcW w:w="20" w:type="dxa"/>
            <w:vAlign w:val="bottom"/>
          </w:tcPr>
          <w:p>
            <w:pPr>
              <w:spacing w:after="0"/>
              <w:rPr>
                <w:sz w:val="20"/>
                <w:szCs w:val="20"/>
                <w:color w:val="auto"/>
              </w:rPr>
            </w:pPr>
          </w:p>
        </w:tc>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9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5"/>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Changes in prepaid expenses and other current and long-term assets</w:t>
            </w:r>
          </w:p>
        </w:tc>
        <w:tc>
          <w:tcPr>
            <w:tcW w:w="9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r>
      <w:tr>
        <w:trPr>
          <w:trHeight w:val="215"/>
        </w:trPr>
        <w:tc>
          <w:tcPr>
            <w:tcW w:w="20" w:type="dxa"/>
            <w:vAlign w:val="bottom"/>
          </w:tcPr>
          <w:p>
            <w:pPr>
              <w:spacing w:after="0"/>
              <w:rPr>
                <w:sz w:val="18"/>
                <w:szCs w:val="18"/>
                <w:color w:val="auto"/>
              </w:rPr>
            </w:pPr>
          </w:p>
        </w:tc>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9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r>
      <w:tr>
        <w:trPr>
          <w:trHeight w:val="208"/>
        </w:trPr>
        <w:tc>
          <w:tcPr>
            <w:tcW w:w="8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 (1)</w:t>
            </w:r>
          </w:p>
        </w:tc>
        <w:tc>
          <w:tcPr>
            <w:tcW w:w="940" w:type="dxa"/>
            <w:vAlign w:val="bottom"/>
          </w:tcPr>
          <w:p>
            <w:pPr>
              <w:jc w:val="right"/>
              <w:ind w:right="77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w:t>
            </w: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540" w:right="80" w:hanging="318"/>
        <w:spacing w:after="0" w:line="251"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and Adjusted EBITDA are non-GAAP financial measures. EBITDA is defined as net income before (a) interest income and interest expense, (b) provision for (or benefit from) income taxes and (c) depreciation and amortization. Adjusted EBITDA excludes non-cash foreign exchange gains and losses, stock-based compensation, impairment of intangible assets and other non-cash tax related items. We consider EBITDA and Adjusted EBITDA to be important indicators for the performance of our business, but not measures of performance or liquidity calculated in accordance with GAAP. We have included these non-GAAP financial measures because management utilizes this information for assessing our performance and liquidity, and as indicators of our ability to make capital expenditures, service debt and finance working capital requirements and we believe that EBITDA and Adjusted EBITDA are measurements that are commonly used by analysts and some investors in evaluating the performance and liquidity of companies such as us. In particular, we believe that it is useful to our analysts and investors to understand this relationship because it excludes transactions not related to our core cash operating activities. We believe that excluding these transactions allows investors to meaningfully trend and analyze the performance of our core cash operations. EBITDA and Adjusted EBITDA are not measures of financial performance or liquidity under GAAP and should not be considered in isolation or as alternatives to cash flow from operating activities or as alternatives to net income as indicators of operating performance or any other measures of performance derived in accordance with GAAP. In evaluating our performance as measured by EBITDA, management recognizes and considers the limitations of this measurement. EBITDA and Adjusted EBITDA do not reflect our obligations for the payment of income taxes, interest expense or other obligations such as capital expenditures. Accordingly, EBITDA and Adjusted EBITDA are only two of the measurements that management utilizes. Other companies in our industry may calculate EBITDA or Adjusted EBITDA differently than we do and EBITDA and Adjusted EBITDA may not be comparable with similarly titled measures reported by other companies.</w:t>
      </w:r>
    </w:p>
    <w:sectPr>
      <w:pgSz w:w="11900" w:h="16838" w:orient="portrait"/>
      <w:cols w:equalWidth="0" w:num="1">
        <w:col w:w="11240"/>
      </w:cols>
      <w:pgMar w:left="320" w:top="5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2026-06-10T15:32:04Z</dcterms:created>
  <dcterms:modified xsi:type="dcterms:W3CDTF">2026-06-10T15:32:04Z</dcterms:modified>
</cp:coreProperties>
</file>