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sectPr>
      </w:pPr>
    </w:p>
    <w:p>
      <w:pPr>
        <w:spacing w:after="0" w:line="200" w:lineRule="exact"/>
        <w:rPr>
          <w:sz w:val="24"/>
          <w:szCs w:val="24"/>
          <w:color w:val="auto"/>
        </w:rPr>
      </w:pPr>
    </w:p>
    <w:p>
      <w:pPr>
        <w:spacing w:after="0" w:line="24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spacing w:after="0" w:line="207" w:lineRule="exact"/>
        <w:tabs>
          <w:tab w:leader="none" w:pos="36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Commission Only (as permitted by Rule 14a-6(e)(2))</w:t>
      </w:r>
    </w:p>
    <w:p>
      <w:pPr>
        <w:spacing w:after="0" w:line="22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MIND Technology,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88"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TIMBERLOCH PLACE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WOODLANDS, TEXAS 77380-1187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JULY 17, 2025</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will hold the Annual Meeting of Stockholders (the “Annual Meeting”) of MIND Technology, Inc., a Delaware corporation, on Thursday, July 17, 2025, at 9:00 a.m., Central Time. The meeting will be held in virtual meeting format. Stockholders are encouraged to listen, vote and submit questions from any remote location that has Internet connectivity. If you plan to participate in the virtual meeting, please visit www.viewproxy.com/MINDTechnology/2025 and register by 11:59 p.m. Eastern Time on July 16, 2025. You will be able to log in to the Annual Meeting using the password received via email in your registration confirmation. At the Annual Meeting, stockholders will be asked to:</w:t>
      </w:r>
    </w:p>
    <w:p>
      <w:pPr>
        <w:spacing w:after="0" w:line="183" w:lineRule="exact"/>
        <w:rPr>
          <w:sz w:val="20"/>
          <w:szCs w:val="20"/>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nominees named in this proxy statement to serve on our Board of Directors until the next annual meeting of stockholders, each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MIND Technology, Inc. Amended and Restated Stock Awards Plan (the “Plan” or the “Stock Awards Plan”) to increase the number of shares of our common stock authorized for issuance by 400,000 shares (the “Fifth Amendment”);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an advisory basis, Named Executive Officer compensation;</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by the Audit Committee of our Board of Directors of Moss Adams LLP as our independent registered public accounting firm for the fiscal year ending January 31, 2026; and</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Additionally, if needed, stockholders may act upon any other matters that may properly come before the Annual Meeting (including a proposal to adjourn the meeting to solicit additional proxies) or any reconvened meeting after an adjournment or postponement of the meeting.</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the close of business on May 19, 2025, as the record date for determining the stockholders entitled to notice of and to vote at the Annual Meeting to be held July 17, 2025, and any adjournment or postponement thereof.</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list of stockholders will be available for inspection at our Annual Meeting, and during normal business hours at least ten days prior thereto, at our corporate office located at 2002 Timberloch Place, Suite 550, The Woodlands, Texas 77380.</w:t>
      </w:r>
    </w:p>
    <w:p>
      <w:pPr>
        <w:spacing w:after="0" w:line="162"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Annual Meeting, please complete, sign and mail the enclosed proxy card as promptly as possible in the accompanying envelope or use the telephone or internet voting.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136130" cy="1015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1015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JULY 17, 2025.</w:t>
      </w:r>
    </w:p>
    <w:p>
      <w:pPr>
        <w:spacing w:after="0" w:line="203" w:lineRule="exact"/>
        <w:rPr>
          <w:sz w:val="20"/>
          <w:szCs w:val="20"/>
          <w:color w:val="auto"/>
        </w:rPr>
      </w:pPr>
    </w:p>
    <w:p>
      <w:pPr>
        <w:jc w:val="center"/>
        <w:ind w:left="340" w:right="1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Notice of Virtual Annual Meeting of Stockholders, our Proxy Statement for the Annual Meeting and our Annual Report to Stockholders for the fiscal year ended January 31, 2025 are available at </w:t>
      </w:r>
      <w:r>
        <w:rPr>
          <w:rFonts w:ascii="Times New Roman" w:cs="Times New Roman" w:eastAsia="Times New Roman" w:hAnsi="Times New Roman"/>
          <w:sz w:val="18"/>
          <w:szCs w:val="18"/>
          <w:b w:val="1"/>
          <w:bCs w:val="1"/>
          <w:i w:val="1"/>
          <w:iCs w:val="1"/>
          <w:color w:val="auto"/>
        </w:rPr>
        <w:t>www.viewproxy.com/MINDTechnology/2025.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370840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90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53"/>
        </w:trPr>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2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5"/>
              </w:rPr>
              <w:t>SOLICITATION OF PROXIES</w:t>
            </w:r>
          </w:p>
        </w:tc>
        <w:tc>
          <w:tcPr>
            <w:tcW w:w="6640" w:type="dxa"/>
            <w:vAlign w:val="bottom"/>
            <w:gridSpan w:val="17"/>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Purpose, Place, Date and Time</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7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Expenses of Solicitation</w:t>
            </w:r>
          </w:p>
        </w:tc>
        <w:tc>
          <w:tcPr>
            <w:tcW w:w="460" w:type="dxa"/>
            <w:vAlign w:val="bottom"/>
            <w:gridSpan w:val="3"/>
          </w:tcPr>
          <w:p>
            <w:pPr>
              <w:spacing w:after="0"/>
              <w:rPr>
                <w:sz w:val="17"/>
                <w:szCs w:val="17"/>
                <w:color w:val="auto"/>
              </w:rPr>
            </w:pPr>
          </w:p>
        </w:tc>
        <w:tc>
          <w:tcPr>
            <w:tcW w:w="6560" w:type="dxa"/>
            <w:vAlign w:val="bottom"/>
            <w:gridSpan w:val="16"/>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4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Stockholders Sharing the Same Last Name and Address</w:t>
            </w:r>
          </w:p>
        </w:tc>
        <w:tc>
          <w:tcPr>
            <w:tcW w:w="4700" w:type="dxa"/>
            <w:vAlign w:val="bottom"/>
            <w:gridSpan w:val="6"/>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OF SECURITIES</w:t>
            </w:r>
          </w:p>
        </w:tc>
        <w:tc>
          <w:tcPr>
            <w:tcW w:w="6860" w:type="dxa"/>
            <w:vAlign w:val="bottom"/>
            <w:gridSpan w:val="18"/>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12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Record Date; Stockholders Entitled to Vote</w:t>
            </w:r>
          </w:p>
        </w:tc>
        <w:tc>
          <w:tcPr>
            <w:tcW w:w="5620" w:type="dxa"/>
            <w:vAlign w:val="bottom"/>
            <w:gridSpan w:val="11"/>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12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Quorum; Discretionary Authority</w:t>
            </w:r>
          </w:p>
        </w:tc>
        <w:tc>
          <w:tcPr>
            <w:tcW w:w="5620" w:type="dxa"/>
            <w:vAlign w:val="bottom"/>
            <w:gridSpan w:val="11"/>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Abstentions and Broker Non-Votes; Vote Required</w:t>
            </w:r>
          </w:p>
        </w:tc>
        <w:tc>
          <w:tcPr>
            <w:tcW w:w="5080" w:type="dxa"/>
            <w:vAlign w:val="bottom"/>
            <w:gridSpan w:val="8"/>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Revocation of Proxies</w:t>
            </w:r>
          </w:p>
        </w:tc>
        <w:tc>
          <w:tcPr>
            <w:tcW w:w="5080" w:type="dxa"/>
            <w:vAlign w:val="bottom"/>
            <w:gridSpan w:val="8"/>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9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88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Our Governance Practices</w:t>
            </w:r>
          </w:p>
        </w:tc>
        <w:tc>
          <w:tcPr>
            <w:tcW w:w="300" w:type="dxa"/>
            <w:vAlign w:val="bottom"/>
            <w:gridSpan w:val="2"/>
          </w:tcPr>
          <w:p>
            <w:pPr>
              <w:spacing w:after="0"/>
              <w:rPr>
                <w:sz w:val="17"/>
                <w:szCs w:val="17"/>
                <w:color w:val="auto"/>
              </w:rPr>
            </w:pPr>
          </w:p>
        </w:tc>
        <w:tc>
          <w:tcPr>
            <w:tcW w:w="6560" w:type="dxa"/>
            <w:vAlign w:val="bottom"/>
            <w:gridSpan w:val="16"/>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Our Board</w:t>
            </w:r>
          </w:p>
        </w:tc>
        <w:tc>
          <w:tcPr>
            <w:tcW w:w="1100" w:type="dxa"/>
            <w:vAlign w:val="bottom"/>
            <w:gridSpan w:val="5"/>
          </w:tcPr>
          <w:p>
            <w:pPr>
              <w:spacing w:after="0"/>
              <w:rPr>
                <w:sz w:val="17"/>
                <w:szCs w:val="17"/>
                <w:color w:val="auto"/>
              </w:rPr>
            </w:pPr>
          </w:p>
        </w:tc>
        <w:tc>
          <w:tcPr>
            <w:tcW w:w="6860" w:type="dxa"/>
            <w:vAlign w:val="bottom"/>
            <w:gridSpan w:val="18"/>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Committees of Our Board</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Director Nomination Process</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90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TRANSACTIONS WITH RELATED PERSONS</w:t>
            </w:r>
          </w:p>
        </w:tc>
        <w:tc>
          <w:tcPr>
            <w:tcW w:w="2620" w:type="dxa"/>
            <w:vAlign w:val="bottom"/>
            <w:gridSpan w:val="7"/>
          </w:tcPr>
          <w:p>
            <w:pPr>
              <w:spacing w:after="0"/>
              <w:rPr>
                <w:sz w:val="17"/>
                <w:szCs w:val="17"/>
                <w:color w:val="auto"/>
              </w:rPr>
            </w:pPr>
          </w:p>
        </w:tc>
        <w:tc>
          <w:tcPr>
            <w:tcW w:w="2700" w:type="dxa"/>
            <w:vAlign w:val="bottom"/>
            <w:gridSpan w:val="2"/>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42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Policies and Procedures</w:t>
            </w:r>
          </w:p>
        </w:tc>
        <w:tc>
          <w:tcPr>
            <w:tcW w:w="5320" w:type="dxa"/>
            <w:vAlign w:val="bottom"/>
            <w:gridSpan w:val="9"/>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7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Transactions</w:t>
            </w:r>
          </w:p>
        </w:tc>
        <w:tc>
          <w:tcPr>
            <w:tcW w:w="7020" w:type="dxa"/>
            <w:vAlign w:val="bottom"/>
            <w:gridSpan w:val="19"/>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6740" w:type="dxa"/>
            <w:vAlign w:val="bottom"/>
            <w:tcBorders>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SECURITY OWNERSHIP OF CERTAIN BENEFICIAL OWNERS AND MANAGEMENT</w:t>
            </w:r>
          </w:p>
        </w:tc>
        <w:tc>
          <w:tcPr>
            <w:tcW w:w="21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w:t>
            </w: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Principal Holders of Securities</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Security Ownership of Management</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18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33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5540" w:type="dxa"/>
            <w:vAlign w:val="bottom"/>
            <w:gridSpan w:val="10"/>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5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General</w:t>
            </w:r>
          </w:p>
        </w:tc>
        <w:tc>
          <w:tcPr>
            <w:tcW w:w="2620" w:type="dxa"/>
            <w:vAlign w:val="bottom"/>
            <w:gridSpan w:val="14"/>
          </w:tcPr>
          <w:p>
            <w:pPr>
              <w:spacing w:after="0"/>
              <w:rPr>
                <w:sz w:val="17"/>
                <w:szCs w:val="17"/>
                <w:color w:val="auto"/>
              </w:rPr>
            </w:pPr>
          </w:p>
        </w:tc>
        <w:tc>
          <w:tcPr>
            <w:tcW w:w="5540" w:type="dxa"/>
            <w:vAlign w:val="bottom"/>
            <w:gridSpan w:val="10"/>
          </w:tcPr>
          <w:p>
            <w:pPr>
              <w:spacing w:after="0"/>
              <w:rPr>
                <w:sz w:val="17"/>
                <w:szCs w:val="17"/>
                <w:color w:val="auto"/>
              </w:rPr>
            </w:pP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Information About Director Nominees</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20" w:type="dxa"/>
            <w:vAlign w:val="bottom"/>
            <w:gridSpan w:val="3"/>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42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4620" w:type="dxa"/>
            <w:vAlign w:val="bottom"/>
            <w:gridSpan w:val="5"/>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13</w:t>
            </w: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440" w:type="dxa"/>
            <w:vAlign w:val="bottom"/>
            <w:gridSpan w:val="15"/>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14</w:t>
            </w: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Summary Compensation Table for Fiscal Year Ended January 31, 2025</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14</w:t>
            </w:r>
          </w:p>
        </w:tc>
      </w:tr>
      <w:tr>
        <w:trPr>
          <w:trHeight w:val="196"/>
        </w:trPr>
        <w:tc>
          <w:tcPr>
            <w:tcW w:w="16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Narrative Disclosure to Summary Compensation Table</w:t>
            </w:r>
          </w:p>
        </w:tc>
        <w:tc>
          <w:tcPr>
            <w:tcW w:w="1160" w:type="dxa"/>
            <w:vAlign w:val="bottom"/>
            <w:tcBorders>
              <w:top w:val="single" w:sz="8" w:color="0000EE"/>
            </w:tcBorders>
            <w:gridSpan w:val="4"/>
          </w:tcPr>
          <w:p>
            <w:pPr>
              <w:spacing w:after="0"/>
              <w:rPr>
                <w:sz w:val="17"/>
                <w:szCs w:val="17"/>
                <w:color w:val="auto"/>
              </w:rPr>
            </w:pPr>
          </w:p>
        </w:tc>
        <w:tc>
          <w:tcPr>
            <w:tcW w:w="3620" w:type="dxa"/>
            <w:vAlign w:val="bottom"/>
            <w:gridSpan w:val="3"/>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15</w:t>
            </w:r>
          </w:p>
        </w:tc>
      </w:tr>
      <w:tr>
        <w:trPr>
          <w:trHeight w:val="196"/>
        </w:trPr>
        <w:tc>
          <w:tcPr>
            <w:tcW w:w="160" w:type="dxa"/>
            <w:vAlign w:val="bottom"/>
          </w:tcPr>
          <w:p>
            <w:pPr>
              <w:spacing w:after="0"/>
              <w:rPr>
                <w:sz w:val="17"/>
                <w:szCs w:val="17"/>
                <w:color w:val="auto"/>
              </w:rPr>
            </w:pPr>
          </w:p>
        </w:tc>
        <w:tc>
          <w:tcPr>
            <w:tcW w:w="468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Outstanding Equity Awards Value at Fiscal 2025 Year-End Table</w:t>
            </w:r>
          </w:p>
        </w:tc>
        <w:tc>
          <w:tcPr>
            <w:tcW w:w="4060" w:type="dxa"/>
            <w:vAlign w:val="bottom"/>
            <w:gridSpan w:val="4"/>
          </w:tcPr>
          <w:p>
            <w:pPr>
              <w:spacing w:after="0"/>
              <w:rPr>
                <w:sz w:val="17"/>
                <w:szCs w:val="17"/>
                <w:color w:val="auto"/>
              </w:rPr>
            </w:pPr>
          </w:p>
        </w:tc>
        <w:tc>
          <w:tcPr>
            <w:tcW w:w="218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18</w:t>
            </w:r>
          </w:p>
        </w:tc>
      </w:tr>
      <w:tr>
        <w:trPr>
          <w:trHeight w:val="196"/>
        </w:trPr>
        <w:tc>
          <w:tcPr>
            <w:tcW w:w="160" w:type="dxa"/>
            <w:vAlign w:val="bottom"/>
          </w:tcPr>
          <w:p>
            <w:pPr>
              <w:spacing w:after="0"/>
              <w:rPr>
                <w:sz w:val="17"/>
                <w:szCs w:val="17"/>
                <w:color w:val="auto"/>
              </w:rPr>
            </w:pPr>
          </w:p>
        </w:tc>
        <w:tc>
          <w:tcPr>
            <w:tcW w:w="874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Pay Versus Performance</w:t>
            </w:r>
          </w:p>
        </w:tc>
        <w:tc>
          <w:tcPr>
            <w:tcW w:w="23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18</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1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12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12"/>
        </w:trPr>
        <w:tc>
          <w:tcPr>
            <w:tcW w:w="234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7780" w:type="dxa"/>
            <w:vAlign w:val="bottom"/>
            <w:gridSpan w:val="14"/>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160" w:type="dxa"/>
            <w:vAlign w:val="bottom"/>
          </w:tcPr>
          <w:p>
            <w:pPr>
              <w:spacing w:after="0"/>
              <w:rPr>
                <w:sz w:val="17"/>
                <w:szCs w:val="17"/>
                <w:color w:val="auto"/>
              </w:rPr>
            </w:pPr>
          </w:p>
        </w:tc>
        <w:tc>
          <w:tcPr>
            <w:tcW w:w="5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General</w:t>
            </w:r>
          </w:p>
        </w:tc>
        <w:tc>
          <w:tcPr>
            <w:tcW w:w="9380" w:type="dxa"/>
            <w:vAlign w:val="bottom"/>
            <w:gridSpan w:val="24"/>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160" w:type="dxa"/>
            <w:vAlign w:val="bottom"/>
          </w:tcPr>
          <w:p>
            <w:pPr>
              <w:spacing w:after="0"/>
              <w:rPr>
                <w:sz w:val="17"/>
                <w:szCs w:val="17"/>
                <w:color w:val="auto"/>
              </w:rPr>
            </w:pPr>
          </w:p>
        </w:tc>
        <w:tc>
          <w:tcPr>
            <w:tcW w:w="130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Retainer and Fees</w:t>
            </w:r>
          </w:p>
        </w:tc>
        <w:tc>
          <w:tcPr>
            <w:tcW w:w="8660" w:type="dxa"/>
            <w:vAlign w:val="bottom"/>
            <w:gridSpan w:val="19"/>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160" w:type="dxa"/>
            <w:vAlign w:val="bottom"/>
          </w:tcPr>
          <w:p>
            <w:pPr>
              <w:spacing w:after="0"/>
              <w:rPr>
                <w:sz w:val="17"/>
                <w:szCs w:val="17"/>
                <w:color w:val="auto"/>
              </w:rPr>
            </w:pPr>
          </w:p>
        </w:tc>
        <w:tc>
          <w:tcPr>
            <w:tcW w:w="2080" w:type="dxa"/>
            <w:vAlign w:val="bottom"/>
            <w:tcBorders>
              <w:bottom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Equity-Based Compensation</w:t>
            </w:r>
          </w:p>
        </w:tc>
        <w:tc>
          <w:tcPr>
            <w:tcW w:w="7880" w:type="dxa"/>
            <w:vAlign w:val="bottom"/>
            <w:gridSpan w:val="16"/>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21</w:t>
            </w: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21</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634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PROPOSAL 2: APPROVAL OF FIFTH AMENDMENT TO STOCK AWARDS PLAN</w:t>
            </w:r>
          </w:p>
        </w:tc>
        <w:tc>
          <w:tcPr>
            <w:tcW w:w="378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Consequences of Failing to Approve the Proposal</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196"/>
        </w:trPr>
        <w:tc>
          <w:tcPr>
            <w:tcW w:w="1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Summary of the Amended Plan</w:t>
            </w:r>
          </w:p>
        </w:tc>
        <w:tc>
          <w:tcPr>
            <w:tcW w:w="1300" w:type="dxa"/>
            <w:vAlign w:val="bottom"/>
            <w:tcBorders>
              <w:top w:val="single" w:sz="8" w:color="0000EE"/>
            </w:tcBorders>
            <w:gridSpan w:val="4"/>
          </w:tcPr>
          <w:p>
            <w:pPr>
              <w:spacing w:after="0"/>
              <w:rPr>
                <w:sz w:val="17"/>
                <w:szCs w:val="17"/>
                <w:color w:val="auto"/>
              </w:rPr>
            </w:pPr>
          </w:p>
        </w:tc>
        <w:tc>
          <w:tcPr>
            <w:tcW w:w="638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Awards Under the Amended Plan</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196"/>
        </w:trPr>
        <w:tc>
          <w:tcPr>
            <w:tcW w:w="160" w:type="dxa"/>
            <w:vAlign w:val="bottom"/>
          </w:tcPr>
          <w:p>
            <w:pPr>
              <w:spacing w:after="0"/>
              <w:rPr>
                <w:sz w:val="17"/>
                <w:szCs w:val="17"/>
                <w:color w:val="auto"/>
              </w:rPr>
            </w:pPr>
          </w:p>
        </w:tc>
        <w:tc>
          <w:tcPr>
            <w:tcW w:w="2420" w:type="dxa"/>
            <w:vAlign w:val="bottom"/>
            <w:tcBorders>
              <w:top w:val="single" w:sz="8" w:color="0000EE"/>
            </w:tcBorders>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Tax Withholding</w:t>
            </w:r>
          </w:p>
        </w:tc>
        <w:tc>
          <w:tcPr>
            <w:tcW w:w="754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r>
      <w:tr>
        <w:trPr>
          <w:trHeight w:val="20"/>
        </w:trPr>
        <w:tc>
          <w:tcPr>
            <w:tcW w:w="16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Amendment and Termination</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25</w:t>
            </w:r>
          </w:p>
        </w:tc>
      </w:tr>
      <w:tr>
        <w:trPr>
          <w:trHeight w:val="196"/>
        </w:trPr>
        <w:tc>
          <w:tcPr>
            <w:tcW w:w="160" w:type="dxa"/>
            <w:vAlign w:val="bottom"/>
          </w:tcPr>
          <w:p>
            <w:pPr>
              <w:spacing w:after="0"/>
              <w:rPr>
                <w:sz w:val="17"/>
                <w:szCs w:val="17"/>
                <w:color w:val="auto"/>
              </w:rPr>
            </w:pPr>
          </w:p>
        </w:tc>
        <w:tc>
          <w:tcPr>
            <w:tcW w:w="2120" w:type="dxa"/>
            <w:vAlign w:val="bottom"/>
            <w:tcBorders>
              <w:top w:val="single" w:sz="8" w:color="0000EE"/>
            </w:tcBorders>
            <w:gridSpan w:val="10"/>
          </w:tcPr>
          <w:p>
            <w:pPr>
              <w:ind w:left="20"/>
              <w:spacing w:after="0" w:line="196" w:lineRule="exact"/>
              <w:rPr>
                <w:sz w:val="20"/>
                <w:szCs w:val="20"/>
                <w:color w:val="auto"/>
              </w:rPr>
            </w:pPr>
            <w:r>
              <w:rPr>
                <w:rFonts w:ascii="Times New Roman" w:cs="Times New Roman" w:eastAsia="Times New Roman" w:hAnsi="Times New Roman"/>
                <w:sz w:val="18"/>
                <w:szCs w:val="18"/>
                <w:color w:val="0000EE"/>
              </w:rPr>
              <w:t>Corporate Events</w:t>
            </w:r>
          </w:p>
        </w:tc>
        <w:tc>
          <w:tcPr>
            <w:tcW w:w="7840" w:type="dxa"/>
            <w:vAlign w:val="bottom"/>
            <w:gridSpan w:val="15"/>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r>
      <w:tr>
        <w:trPr>
          <w:trHeight w:val="20"/>
        </w:trPr>
        <w:tc>
          <w:tcPr>
            <w:tcW w:w="160" w:type="dxa"/>
            <w:vAlign w:val="bottom"/>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520" w:type="dxa"/>
            <w:vAlign w:val="bottom"/>
            <w:tcBorders>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Repricing Prohibited</w:t>
            </w:r>
          </w:p>
        </w:tc>
        <w:tc>
          <w:tcPr>
            <w:tcW w:w="8440" w:type="dxa"/>
            <w:vAlign w:val="bottom"/>
            <w:gridSpan w:val="18"/>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25</w:t>
            </w: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Federal Income Tax Consequences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26</w:t>
            </w:r>
          </w:p>
        </w:tc>
      </w:tr>
      <w:tr>
        <w:trPr>
          <w:trHeight w:val="20"/>
        </w:trPr>
        <w:tc>
          <w:tcPr>
            <w:tcW w:w="160" w:type="dxa"/>
            <w:vAlign w:val="bottom"/>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New Plan Benefits and Previously Awarded Options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60" w:type="dxa"/>
            <w:vAlign w:val="bottom"/>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500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Securities Authorized for Issuance under Equity Compensation Plans</w:t>
            </w:r>
          </w:p>
        </w:tc>
        <w:tc>
          <w:tcPr>
            <w:tcW w:w="496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28</w:t>
            </w:r>
          </w:p>
        </w:tc>
      </w:tr>
      <w:tr>
        <w:trPr>
          <w:trHeight w:val="196"/>
        </w:trPr>
        <w:tc>
          <w:tcPr>
            <w:tcW w:w="160" w:type="dxa"/>
            <w:vAlign w:val="bottom"/>
          </w:tcPr>
          <w:p>
            <w:pPr>
              <w:spacing w:after="0"/>
              <w:rPr>
                <w:sz w:val="17"/>
                <w:szCs w:val="17"/>
                <w:color w:val="auto"/>
              </w:rPr>
            </w:pPr>
          </w:p>
        </w:tc>
        <w:tc>
          <w:tcPr>
            <w:tcW w:w="9960" w:type="dxa"/>
            <w:vAlign w:val="bottom"/>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PROPOSAL 3: ADVISORY VOTE TO APPROVE NAMED EXECUTIVE OFFICER COMPENSATION</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r>
      <w:tr>
        <w:trPr>
          <w:trHeight w:val="196"/>
        </w:trPr>
        <w:tc>
          <w:tcPr>
            <w:tcW w:w="16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2400" w:type="dxa"/>
            <w:vAlign w:val="bottom"/>
            <w:gridSpan w:val="2"/>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31</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PROPOSAL 4: RATIFICATION OF THE SELECTION OF INDEPENDENT REGISTERED PUBLIC ACCOUNTING FIRM</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r>
      <w:tr>
        <w:trPr>
          <w:trHeight w:val="196"/>
        </w:trPr>
        <w:tc>
          <w:tcPr>
            <w:tcW w:w="16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AUDITOR FEES AND EXPENSES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20"/>
        </w:trPr>
        <w:tc>
          <w:tcPr>
            <w:tcW w:w="160" w:type="dxa"/>
            <w:vAlign w:val="bottom"/>
            <w:shd w:val="clear" w:color="auto" w:fill="0000EE"/>
          </w:tcPr>
          <w:p>
            <w:pPr>
              <w:spacing w:after="0" w:line="20" w:lineRule="exact"/>
              <w:rPr>
                <w:sz w:val="1"/>
                <w:szCs w:val="1"/>
                <w:color w:val="auto"/>
              </w:rPr>
            </w:pPr>
          </w:p>
        </w:tc>
        <w:tc>
          <w:tcPr>
            <w:tcW w:w="1740" w:type="dxa"/>
            <w:vAlign w:val="bottom"/>
            <w:gridSpan w:val="8"/>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60" w:type="dxa"/>
            <w:vAlign w:val="bottom"/>
            <w:tcBorders>
              <w:bottom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Audit Committee Pre-Approval Policies and Procedures</w:t>
            </w:r>
          </w:p>
        </w:tc>
        <w:tc>
          <w:tcPr>
            <w:tcW w:w="5900" w:type="dxa"/>
            <w:vAlign w:val="bottom"/>
            <w:gridSpan w:val="6"/>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r>
        <w:trPr>
          <w:trHeight w:val="196"/>
        </w:trPr>
        <w:tc>
          <w:tcPr>
            <w:tcW w:w="10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34</w:t>
            </w:r>
          </w:p>
        </w:tc>
      </w:tr>
      <w:tr>
        <w:trPr>
          <w:trHeight w:val="196"/>
        </w:trPr>
        <w:tc>
          <w:tcPr>
            <w:tcW w:w="19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2025 ANNUAL REPORT</w:t>
            </w:r>
          </w:p>
        </w:tc>
        <w:tc>
          <w:tcPr>
            <w:tcW w:w="500" w:type="dxa"/>
            <w:vAlign w:val="bottom"/>
            <w:tcBorders>
              <w:top w:val="single" w:sz="8" w:color="0000EE"/>
            </w:tcBorders>
            <w:gridSpan w:val="4"/>
          </w:tcPr>
          <w:p>
            <w:pPr>
              <w:spacing w:after="0"/>
              <w:rPr>
                <w:sz w:val="17"/>
                <w:szCs w:val="17"/>
                <w:color w:val="auto"/>
              </w:rPr>
            </w:pPr>
          </w:p>
        </w:tc>
        <w:tc>
          <w:tcPr>
            <w:tcW w:w="7720" w:type="dxa"/>
            <w:vAlign w:val="bottom"/>
            <w:gridSpan w:val="13"/>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r>
        <w:trPr>
          <w:trHeight w:val="196"/>
        </w:trPr>
        <w:tc>
          <w:tcPr>
            <w:tcW w:w="10120" w:type="dxa"/>
            <w:vAlign w:val="bottom"/>
            <w:gridSpan w:val="26"/>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11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35</w:t>
            </w:r>
          </w:p>
        </w:tc>
      </w:tr>
      <w:tr>
        <w:trPr>
          <w:trHeight w:val="20"/>
        </w:trPr>
        <w:tc>
          <w:tcPr>
            <w:tcW w:w="3260" w:type="dxa"/>
            <w:vAlign w:val="bottom"/>
            <w:gridSpan w:val="17"/>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506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0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DIRECTOR NOMINATIONS</w:t>
            </w:r>
          </w:p>
        </w:tc>
        <w:tc>
          <w:tcPr>
            <w:tcW w:w="506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35</w:t>
            </w: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2002 Timberloch Place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Woodlands, Texas 77380-1187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VIRTUAL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JULY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Place, Date and Time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(our “Board”) of MIND Technology, Inc., a Delaware corporation (the “Company”), of proxies from the holders of record of our common stock, par value $0.01 per share, at the close of business on May 19, 2025, for use in voting at the virtual Annual Meeting of Stockholders (the “Annual Meeting”) to be held on Thursday July 17, 2025 at 9:00 a.m., Central Time, via live audio webcast at </w:t>
      </w:r>
      <w:r>
        <w:rPr>
          <w:rFonts w:ascii="Times New Roman" w:cs="Times New Roman" w:eastAsia="Times New Roman" w:hAnsi="Times New Roman"/>
          <w:sz w:val="18"/>
          <w:szCs w:val="18"/>
          <w:u w:val="single" w:color="auto"/>
          <w:color w:val="auto"/>
        </w:rPr>
        <w:t>www.viewproxy.com/MINDTechnology/2025</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Notice of Annual Meeting, this proxy statement, the enclosed proxy card and our Annual Report for the fiscal year ended January 31, 2025 (“2025 Annual Report”) are being mailed together on or about June 4, 2025, to each of our stockholders entitled to notice of and to vote at the Annual Meeting.</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Properly executed proxies will be voted as directed. If no direction is indicated therein, proxies received in response to this solicitation will be voted FOR:</w:t>
      </w:r>
    </w:p>
    <w:p>
      <w:pPr>
        <w:spacing w:after="0" w:line="162" w:lineRule="exact"/>
        <w:rPr>
          <w:sz w:val="20"/>
          <w:szCs w:val="20"/>
          <w:color w:val="auto"/>
        </w:rPr>
      </w:pPr>
    </w:p>
    <w:p>
      <w:pPr>
        <w:ind w:left="1080" w:hanging="26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each of the five individuals nominated by our Board and named in this proxy statement for election as directors;</w:t>
      </w:r>
    </w:p>
    <w:p>
      <w:pPr>
        <w:spacing w:after="0" w:line="225"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Fifth Amendment to the Plan to increase the number of shares authorized for issuance by 400,000 shares;</w:t>
      </w:r>
    </w:p>
    <w:p>
      <w:pPr>
        <w:spacing w:after="0" w:line="225" w:lineRule="exact"/>
        <w:rPr>
          <w:rFonts w:ascii="Times New Roman" w:cs="Times New Roman" w:eastAsia="Times New Roman" w:hAnsi="Times New Roman"/>
          <w:sz w:val="18"/>
          <w:szCs w:val="18"/>
          <w:color w:val="auto"/>
        </w:rPr>
      </w:pPr>
    </w:p>
    <w:p>
      <w:pPr>
        <w:ind w:left="1080" w:hanging="26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our Named Executive Officer compensation;</w:t>
      </w:r>
    </w:p>
    <w:p>
      <w:pPr>
        <w:spacing w:after="0" w:line="225" w:lineRule="exact"/>
        <w:rPr>
          <w:rFonts w:ascii="Times New Roman" w:cs="Times New Roman" w:eastAsia="Times New Roman" w:hAnsi="Times New Roman"/>
          <w:sz w:val="18"/>
          <w:szCs w:val="18"/>
          <w:color w:val="auto"/>
        </w:rPr>
      </w:pPr>
    </w:p>
    <w:p>
      <w:pPr>
        <w:ind w:right="240" w:firstLine="818"/>
        <w:spacing w:after="0" w:line="282"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Moss Adams LLP as our independent registered public accounting firm by our Audit Committee for the fiscal year ending January 31, 2026; and</w:t>
      </w:r>
    </w:p>
    <w:p>
      <w:pPr>
        <w:spacing w:after="0" w:line="161" w:lineRule="exact"/>
        <w:rPr>
          <w:rFonts w:ascii="Times New Roman" w:cs="Times New Roman" w:eastAsia="Times New Roman" w:hAnsi="Times New Roman"/>
          <w:sz w:val="18"/>
          <w:szCs w:val="18"/>
          <w:color w:val="auto"/>
        </w:rPr>
      </w:pPr>
    </w:p>
    <w:p>
      <w:pPr>
        <w:ind w:right="180" w:firstLine="818"/>
        <w:spacing w:after="0" w:line="282" w:lineRule="auto"/>
        <w:tabs>
          <w:tab w:leader="none" w:pos="10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recommended by our Board with regard to any other matters that properly come before the Annual Meeting, or if no recommendation is given, at the discretion of the appointed proxies.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will bear the entire cost of soliciting proxies, including the cost of the preparation, assembly, printing and mailing of this proxy statement, the proxy card and any additional information furnished to our stockholders in connection with the Annual Meeting. In addition to this solicitation by mail, our directors, officers and other employees may solicit proxies by use of mail, telephone, facsimile, electronic means, in person or otherwise. These persons will not receive any additional compensation for assisting in the solicitation but may be reimbursed for reasonable out-of-pocket expenses in connection with the solicitation. We have retained Alliance Advisors LLC (“Alliance”) to aid in the distribution of proxy materials and to provide voting and tabulation services for the Annual Meeting. For these services, we will pay Alliance a fee of approximately $33,000 and reimburse it for certain expenses. In addition, we will reimburse brokerage firms, nominees, fiduciaries, custodians and other agents for their expenses in distributing proxy material to the beneficial owners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Sharing the Same Last Name and Address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sending only one copy of our proxy statement and 2025 Annual Report to stockholders who share the same last name and address, unless they have notified us that they want to continue receiving multiple copies. This practice, known as “householding,” is designed to reduce duplicate mailings and save significant printing and postage costs.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you receive a householded mailing this year and you would like to have additional copies of our proxy statement and 2025 Annual Report mailed to you or you would like to opt out of this practice for future mailings, please submit your request in writing to our Corporate Secretary at MIND Technology, Inc., 2002 Timberloch Place, Suite 550, The Woodlands, Texas 77380-1187, or call us at 281-353-4475. We will deliver promptly upon written or oral request separate copies of any of our proxy materials. You may also contact us in the same manner if you receive multiple copies of the Annual Meeting materials and would prefer to receive a single copy in the future.</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number of brokerage firms have instituted householding. If you hold your shares in “street name,” please contact your bank, broker or other holder of record to request information about householding.</w:t>
      </w:r>
    </w:p>
    <w:p>
      <w:pPr>
        <w:sectPr>
          <w:pgSz w:w="11900" w:h="16838" w:orient="portrait"/>
          <w:cols w:equalWidth="0" w:num="1">
            <w:col w:w="11240"/>
          </w:cols>
          <w:pgMar w:left="320" w:top="121" w:right="3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VOTING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Entitled to Vote</w:t>
      </w:r>
    </w:p>
    <w:p>
      <w:pPr>
        <w:spacing w:after="0" w:line="229"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May 19, 2025, as the record date for determining the holders of shares of common stock entitled to notice of and to vote at the Annual Meeting. As of the close of business on May 19, 2025, there were 7,969,421 issued and outstanding shares of common stock, each of which is entitled to one vote on each item of business to be conducted at the Annual Meeting.</w:t>
      </w:r>
    </w:p>
    <w:p>
      <w:pPr>
        <w:spacing w:after="0" w:line="17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For a period of at least 10 days prior to the Annual Meeting, a list of the stockholders entitled to vote at the Annual Meeting will be available for inspection during normal business hours at our corporate office located at 2002 Timberloch Place, Suite 550, The Woodlands, Texas 77380.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Discretionary Authority</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Bylaws (“Bylaws”) provide that a majority of the aggregate outstanding shares entitled to vote, represented either in person or by proxy, will constitute a quorum for the transaction of business. Consequently, holders of at least 3,984,711 shares of our common stock must be present either at the virtual meeting or by proxy to establish a quorum for the Annual Meeting. If less than a quorum is represented at the Annual Meeting, a majority of the shares so represented may adjourn the Annual Meeting from time to time without further notice, and the persons named as proxies will vote the proxies they have been authorized at the Annual Meeting in favor of such an adjournment.</w:t>
      </w:r>
    </w:p>
    <w:p>
      <w:pPr>
        <w:spacing w:after="0" w:line="183"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the event a quorum is present at the Annual Meeting but sufficient votes to approve any of the items proposed by our Board have not been received, the persons named as proxies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 Any adjournment will require the affirmative vote of the holders of a majority of those shares represented at the Annual Meeting in person or by proxy. If a quorum is present, the persons named as proxies will vote the proxies they have been authorized to vote on any other business properly before the Annual Meeting in favor of such an adjournment.</w:t>
      </w:r>
    </w:p>
    <w:p>
      <w:pPr>
        <w:spacing w:after="0" w:line="18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Our Board does not know of any other matters that are to be presented for action at the Annual Meeting. However, if other matters properly come before the Annual Meeting, it is intended that the enclosed proxy will be voted in accordance with the judgment of the persons voting the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Vote Required</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Abstentions and broker non-votes are counted for purposes of determining the presence or absence of a quorum for the transaction of business. Abstentions occur when stockholders are present at the Annual Meeting but choose to withhold their vote for any of the matters upon which the stockholders are voting.</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 will receive instructions from your broker or other nominee describing how to vote your shares. On certain “routine” matters, your broker has discretionary authority under applicable stock exchange rules to vote your shares in the broker’s discretion if you do not provide voting instructions. When your broker votes your shares on a routine matter without receiving voting instructions (referred to as a “broker vote”), these shares are counted both for establishing a quorum to conduct business at the Annual Meeting and in determining the number of shares voted for or against the routine matter. A “broker non-vote” occurs when a broker or other nominee does not have discretion to vote on a particular matter, you have not given timely instructions on how the broker or other nominee should vote your shares and the broker or other nominee indicates it does not have authority to vote such shares on its proxy. Although broker non-votes will be counted as present at the meeting for purposes of determining a quorum, they will be treated as not entitled to vote with respect to non-discretionary matters.</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brokers will not have discretionary authority to vote in the absence of timely instructions from the beneficial owners on any of the proposals to be voted on at the Annual Meeting, other than Proposal 4 (Ratification of Selection of Independent Registered Public Accounting Firm).</w:t>
      </w:r>
    </w:p>
    <w:p>
      <w:pPr>
        <w:spacing w:after="0" w:line="174" w:lineRule="exact"/>
        <w:rPr>
          <w:sz w:val="20"/>
          <w:szCs w:val="20"/>
          <w:color w:val="auto"/>
        </w:rPr>
      </w:pPr>
    </w:p>
    <w:p>
      <w:pPr>
        <w:ind w:left="980" w:right="2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 To be elected, each nominee for election as a director must receive the affirmative vote of a plurality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at the Annual Meeting by holders of shares of common stock entitled to vote on the proposal. This means that director nominees with the most votes are elected. Votes may be cast in favor of or withheld from the election of each nominee. Votes that are withheld from a director’s election will be counted toward a quorum but will not affect the outcome of the vote on the election of a director. Broker non-votes will have no effect on the outcome of the vote on the election of a director.</w:t>
      </w:r>
    </w:p>
    <w:p>
      <w:pPr>
        <w:spacing w:after="0" w:line="183" w:lineRule="exact"/>
        <w:rPr>
          <w:rFonts w:ascii="Times New Roman" w:cs="Times New Roman" w:eastAsia="Times New Roman" w:hAnsi="Times New Roman"/>
          <w:sz w:val="18"/>
          <w:szCs w:val="18"/>
          <w:color w:val="auto"/>
        </w:rPr>
      </w:pPr>
    </w:p>
    <w:p>
      <w:pPr>
        <w:ind w:left="980" w:hanging="324"/>
        <w:spacing w:after="0" w:line="258"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2 (Approval of Fifth Amendment to the Plan): </w:t>
      </w:r>
      <w:r>
        <w:rPr>
          <w:rFonts w:ascii="Times New Roman" w:cs="Times New Roman" w:eastAsia="Times New Roman" w:hAnsi="Times New Roman"/>
          <w:sz w:val="18"/>
          <w:szCs w:val="18"/>
          <w:color w:val="auto"/>
        </w:rPr>
        <w:t>Approval of the Fifth Amendment to the Plan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shares present in person or represented by proxy at the Annual Meeting and entitled to vote. You may vote for, against or expressly abstain with respect to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w:t>
      </w:r>
    </w:p>
    <w:p>
      <w:pPr>
        <w:spacing w:after="0" w:line="183" w:lineRule="exact"/>
        <w:rPr>
          <w:rFonts w:ascii="Times New Roman" w:cs="Times New Roman" w:eastAsia="Times New Roman" w:hAnsi="Times New Roman"/>
          <w:sz w:val="18"/>
          <w:szCs w:val="18"/>
          <w:color w:val="auto"/>
        </w:rPr>
      </w:pPr>
    </w:p>
    <w:p>
      <w:pPr>
        <w:ind w:left="980" w:hanging="324"/>
        <w:spacing w:after="0" w:line="25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3 (Advisory Vote to Approve Named Executive Officer Compensation)</w:t>
      </w:r>
      <w:r>
        <w:rPr>
          <w:rFonts w:ascii="Times New Roman" w:cs="Times New Roman" w:eastAsia="Times New Roman" w:hAnsi="Times New Roman"/>
          <w:sz w:val="18"/>
          <w:szCs w:val="18"/>
          <w:color w:val="auto"/>
        </w:rPr>
        <w:t>: Approval of this proposal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shares present in person or represented by proxy at the Annual Meeting and entitled to vote. You may vote for, against or expressly abstain with respect to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 While this vote is required by law, it will neither be binding on the Company or our Board, nor will it create or imply any change in the fiduciary duties of, or impose any additional fiduciary duty on, the Company or our Board. However, the views of our stockholders are important to us, and our Compensation Committee will take into account the outcome of the vote when considering future executive compensation decisions.</w:t>
      </w:r>
    </w:p>
    <w:p>
      <w:pPr>
        <w:spacing w:after="0" w:line="184" w:lineRule="exact"/>
        <w:rPr>
          <w:rFonts w:ascii="Times New Roman" w:cs="Times New Roman" w:eastAsia="Times New Roman" w:hAnsi="Times New Roman"/>
          <w:sz w:val="18"/>
          <w:szCs w:val="18"/>
          <w:color w:val="auto"/>
        </w:rPr>
      </w:pPr>
    </w:p>
    <w:p>
      <w:pPr>
        <w:ind w:left="980" w:right="20" w:hanging="324"/>
        <w:spacing w:after="0" w:line="257"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4 (Ratification of Selection of Independent Registered Public Accounting Firm)</w:t>
      </w:r>
      <w:r>
        <w:rPr>
          <w:rFonts w:ascii="Times New Roman" w:cs="Times New Roman" w:eastAsia="Times New Roman" w:hAnsi="Times New Roman"/>
          <w:sz w:val="18"/>
          <w:szCs w:val="18"/>
          <w:color w:val="auto"/>
        </w:rPr>
        <w:t>: Ratification of the selection of Moss Adams LLP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independent registered public accounting firm for the fiscal year ending January 31, 2026, requires the affirmative vote of the holders of a majority of shares present in person or represented by proxy at the Annual Meeting and entitled to vote. You may vote for, against or expressly abstain with respect to this proposal. If you do not instruct your broker how to vote on this proposal, your broker will be permitted to vote your shares in its discretion on this proposal. As a result, we do not expect any broker non-votes in connection with this proposal. Abstentions will have the same practical effect as a vote against this proposal.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If you are a registered stockholder (meaning your shares are registered directly in your name with our transfer agent) you may revoke your proxy at any time prior to the vote tabulation at the Annual Meeting by: (1) sending in an executed proxy card with a later date, (2) timely submitting a proxy with new voting instructions by telephone or over the Internet, (3) sending a written notice of revocation by mail to MIND Technology Inc., 2002 Timberloch Place, Suite 550, The Woodlands, Texas 77380-1187 marked “Proxy Information Enclosed, Attention: Corporate Secretary” or (4) attending the virtual meeting and voting by completing a ballot online. Attending the Annual Meeting will not, in itself, constitute revocation of a completed and delivered proxy card.</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(meaning that your shares are held in a brokerage account by a bank, broker or other nominee) and you vote by proxy, you may change your vote by submitting new voting instructions to your bank, broker or other nominee in accordance with that entity’s procedures.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sections summarize information about our corporate governance policies, our Board and its committees and the director nomination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Governance Practices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committed to sound corporate governance principles. To evidence this commitment, our Board has adopted charters for its committees and a Code of Business Conduct and Ethics (“Code of Ethics”). These documents provide the framework for our corporate governance. A complete copy of the current version of each of these documents is available on our website at </w:t>
      </w:r>
      <w:r>
        <w:rPr>
          <w:rFonts w:ascii="Times New Roman" w:cs="Times New Roman" w:eastAsia="Times New Roman" w:hAnsi="Times New Roman"/>
          <w:sz w:val="18"/>
          <w:szCs w:val="18"/>
          <w:i w:val="1"/>
          <w:iCs w:val="1"/>
          <w:color w:val="auto"/>
        </w:rPr>
        <w:t>https://ir.mind-technology.com/corporate-governance</w:t>
      </w:r>
      <w:r>
        <w:rPr>
          <w:rFonts w:ascii="Times New Roman" w:cs="Times New Roman" w:eastAsia="Times New Roman" w:hAnsi="Times New Roman"/>
          <w:sz w:val="18"/>
          <w:szCs w:val="18"/>
          <w:color w:val="auto"/>
        </w:rPr>
        <w:t xml:space="preserve"> or in print, free of charge, to any stockholder who requests it by contacting us by mail at MIND Technology, Inc., 2002 Timberloch Place, Suite 550, The Woodlands, Texas 77380-1187, Attention: Corporate Secretary, or by telephone (281) 353-4475. Our Board regularly reviews corporate governance developments and modifies our governance documents as appropriate.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Board has adopted a Code of Ethics that applies to all of our employees, including our Chief Executive Officer, Chief Financial Officer and our Chief Accounting Officer, to ensure that our business is conducted in a legal and ethical manner.</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All of our directors, officers and employees are required to certify their compliance with the Code of Ethics. The Code of Ethics requires that any exception to or waiver for an executive officer or director be made only by our Board and disclosed as required by law and the listing standards of The NASDAQ Stock Market LLC (the “NASDAQ Listing Standards”). To date, we have neither received any requests for, nor granted, waivers of the Code of Ethics for any of our executive officers or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the Code of Ethics addresses:</w:t>
      </w:r>
    </w:p>
    <w:p>
      <w:pPr>
        <w:spacing w:after="0" w:line="225" w:lineRule="exact"/>
        <w:rPr>
          <w:sz w:val="20"/>
          <w:szCs w:val="20"/>
          <w:color w:val="auto"/>
        </w:rPr>
      </w:pPr>
    </w:p>
    <w:p>
      <w:pPr>
        <w:ind w:left="820" w:right="380" w:hanging="326"/>
        <w:spacing w:after="0" w:line="261"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the Foreign Corrupt Practices Act of 1977 and similar laws in other countries in which we operate;</w:t>
      </w: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questionable accounting or auditing matters;</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opportunities;</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fair dealing;</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proper use of the Company assets; and</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any illegal or unethical behavior.</w:t>
      </w:r>
    </w:p>
    <w:p>
      <w:pPr>
        <w:spacing w:after="0" w:line="252"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It is our policy that there shall be no acts of retaliation, intimidation, threat, coercion or discrimination against any individual for truthfully reporting, furnishing information or assisting or participating in any manner in an investigation, compliance review or other activity related to the administration of the Code of Ethics.</w:t>
      </w: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has implemented an insider trading policy that is designed to promote compliance with insider trading laws, rules and regulations and the NASDAQ Listing Standards. Our insider trading policy is applicable to officers and directors and employees with access to material nonpublic information, as well as such persons’ family members, which generally prohibits such persons from conducting transactions involving the purchase or sale of the Company’s securities during a blackout period. For this purpose, the term “blackout period” is defined in the policy as the period beginning at the close of market on the last day of each fiscal quarter and ending at the beginning of the third Trading Day following the date of public disclosure of the financial results for that quarter. In addition, under the policy the Company may adjust the duration of a particular blackout period, or impose “event specific” blackout periods, including when there are nonpublic developments that would trigger a “blackout period” is defined in the policy as the Company may, from time to time, prohibit officers, directors and employees from trading securities of the Company because of developments or information known to the Company and not yet disclosed to the public. Such developments or information should be regarded as material if there is a substantial likelihood that it would be considered important to an investor in making an investment decision regarding the purchase or sale of the Company’s securities. The policy also strictly prohibits trading on material nonpublic information, regardless of whether such a transaction occurs during a blackout period.</w:t>
      </w:r>
    </w:p>
    <w:p>
      <w:pPr>
        <w:sectPr>
          <w:pgSz w:w="11900" w:h="16838" w:orient="portrait"/>
          <w:cols w:equalWidth="0" w:num="1">
            <w:col w:w="11220"/>
          </w:cols>
          <w:pgMar w:left="320" w:top="121" w:right="359" w:bottom="1440" w:gutter="0" w:footer="0" w:header="0"/>
        </w:sectPr>
      </w:pP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While the granting of options and other equity awards to officers, directors and other employees is not expressly addressed in the insider trading policy described above, the Company follows the same principles set forth in such policy when granting equity awards, including options, to its officers, directors and other employees with access to material nonpublic information. Generally, the Board or Compensation Committee does not approve grants of such awards during a blackout period and does not take material nonpublic information into account when determining the timing and terms of such an award. Further, the Company does not have a policy or practice of timing the disclosure of material nonpublic information for the purpose of affecting the value of executive compensation.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We prohibit short sales, hedging, and transactions in derivatives of the Company’s securities for all personnel, including directors, officers and employees. We allow for certain portfolio diversification transactions, such as investments in exchange funds.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 has implemented a clawback policy in accordance with NASDAQ Listing Standards, to recoup “excess” incentive compensation, if any, earned by current and former executive officers during a three year look back period in the event of a financial restatement due to material noncompliance with any financial reporting requirement under the securities laws (with no fault required). The Company did not make any financial restatements relating to excess incentive compensation in fiscal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Director Independence</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As required under the NASDAQ Listing Standards, a majority of the members of our Board must qualify as independent, as affirmatively determined by our Board. Our Board evaluated all relevant transactions and relationships between each director, or any of his or her family members, and the Company, senior management and independent registered public accounting firm to determine whether each member of our Board was independent. Based on this evaluation, our Board previously determined that Thomas S. Glanville, Vice Admiral William H. Hilarides, Alan P. Baden and Peter H. Blum are each an independent director, as that term is defined in the NASDAQ Listing Standards. Messrs. Glanville, Hilarides, Baden and Blum constituted a majority of the members of our Board during the fiscal year ended January 31, 2025 (referred to as “fiscal 2025”).</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P. Capps is not independent because he currently serves as our President and Chief Executive Officer.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Attendance at Board and Committee Meetings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fiscal 2025, our Board held three meetings. Each individual serving as a director during such period attended all meetings of our Board and each individual attended all meetings of the Board committees on which he or she served during fiscal 2025.</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Attendance at Annual Meetings</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Our policy is to encourage our directors to attend the annual meetings of our stockholders. All nominees who were serving as directors in December 2024 attended our most recent annual meeting of our stockholders (the "2024 Annual Meeting") in December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and Role in Risk Oversight</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Board separated the positions of Chairman of our Board and Chief Executive Officer in 2004. Separating these positions allows our Chief Executive Officer to focus on our day-to-day business, while allowing the Chairman to lead our Board in its fundamental role of providing advice to, and independent oversight, of management. Our Board recognizes the time, effort, and energy that the Chief Executive Officer is required to devote to this position in the current business environment, as well as the commitment required to serve as our Chairman, particularly as our Board’s oversight responsibilities continue to grow. While our Bylaws do not require that our Chairman and Chief Executive Officer positions be separate, our Board believes that having separate positions and having an independent outside director serve as Chairman is the appropriate leadership structure for our company at this time and demonstrates our commitment to good corporate governance. The Board periodically reviews the leadership structure and may make changes in the future.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340" w:firstLine="648"/>
        <w:spacing w:after="0" w:line="258"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economic, environmental and regulatory risks, and others, such as the impact of competition, technological changes and weather conditions. Management is responsible for the day-to-day management of risks our company faces,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8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Board believes that establishing the right “tone at the top” and that full and open communication between management and our Board are essential for effective risk management and oversight. Our Chairman has regular discussions with our Chief Executive Officer and other senior officers to discuss strategy and risks facing our company. Senior management attends the quarterly Board meetings and is available to address any questions or concerns raised by our Board on risk management-related and any other matters. Each quarter, our Board receives presentations from senior management on strategic matters involving our operations.</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While our Board is ultimately responsible for risk oversight at our company, each of our Board committees assists our Board in fulfilling its oversight responsibilities in certain areas of risk. The Audit Committee assists our Board in fulfilling its oversight responsibilities with respect to risk management in the areas of financial reporting, internal controls and compliance with legal and regulatory requirements, and, in accordance with the NASDAQ Listing Standards, discusses policies with respect to risk assessment and risk management. The Compensation Committee assists our Board in fulfilling its oversight responsibilities with respect to the management of risks arising from our compensation policies and programs. The Nominating Committee assists our Board in fulfilling its oversight responsibilities with respect to the management of risks associated with Board organization, membership and structure, succession planning for our directors and executive officers and corporate governance.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 with Our Board</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welcomes communications from our stockholders. Stockholders may send communications to our Board, or any director in particular, by contacting us by mail at MIND Technology, Inc., 2002 Timberloch Place, Suite 550, The Woodlands, Texas 77380-1187, Attention: Corporate Secretary or via e-mail through our website at </w:t>
      </w:r>
      <w:r>
        <w:rPr>
          <w:rFonts w:ascii="Times New Roman" w:cs="Times New Roman" w:eastAsia="Times New Roman" w:hAnsi="Times New Roman"/>
          <w:sz w:val="18"/>
          <w:szCs w:val="18"/>
          <w:i w:val="1"/>
          <w:iCs w:val="1"/>
          <w:color w:val="auto"/>
        </w:rPr>
        <w:t>https://mind-technology.com/.</w:t>
      </w:r>
      <w:r>
        <w:rPr>
          <w:rFonts w:ascii="Times New Roman" w:cs="Times New Roman" w:eastAsia="Times New Roman" w:hAnsi="Times New Roman"/>
          <w:sz w:val="18"/>
          <w:szCs w:val="18"/>
          <w:color w:val="auto"/>
        </w:rPr>
        <w:t xml:space="preserve"> Each communication must (1) identify the sender, (2) identify the applicable director(s) and (3) contain the information necessary to enable the director(s) to contact the sender. Our Corporate Secretary will relay this information to the applicable director(s) and request that the sender be contacted as soon as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our Board has standing Audit, Compensation and Nominating Committees. Our Board, in its business judgment, has determined that each committee is comprised entirely of independent directors as currently required under the NASDAQ Listing Standards and applicable rules and requirements of the Securities and Exchange Commission, including the rules and requirements specifically applicable to the members of each committee. Each committee is governed by a written charter approved by the full Board. Such charters are available to stockholders on the Company's website at ir.mind-technology.com/corporate-governance.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purposes of the Audit Committee as stated in its charter, include the following:</w:t>
      </w:r>
    </w:p>
    <w:p>
      <w:pPr>
        <w:spacing w:after="0" w:line="225" w:lineRule="exact"/>
        <w:rPr>
          <w:sz w:val="20"/>
          <w:szCs w:val="20"/>
          <w:color w:val="auto"/>
        </w:rPr>
      </w:pPr>
    </w:p>
    <w:p>
      <w:pPr>
        <w:ind w:left="1300" w:right="120" w:hanging="320"/>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our financial statements and other financial information we provide to any governmental body or the public;</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independence and performance;</w:t>
      </w:r>
    </w:p>
    <w:p>
      <w:pPr>
        <w:spacing w:after="0" w:line="36" w:lineRule="exact"/>
        <w:rPr>
          <w:rFonts w:ascii="Times New Roman" w:cs="Times New Roman" w:eastAsia="Times New Roman" w:hAnsi="Times New Roman"/>
          <w:sz w:val="18"/>
          <w:szCs w:val="18"/>
          <w:color w:val="auto"/>
        </w:rPr>
      </w:pPr>
    </w:p>
    <w:p>
      <w:pPr>
        <w:ind w:left="1300" w:right="20" w:hanging="320"/>
        <w:spacing w:after="0" w:line="261"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systems of internal controls regarding finance, accounting and legal compliance that our management and our Board have established;</w:t>
      </w:r>
    </w:p>
    <w:p>
      <w:pPr>
        <w:ind w:left="1300" w:right="120" w:hanging="320"/>
        <w:spacing w:after="0" w:line="250" w:lineRule="auto"/>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an open avenue of communication among the registered independent accountants, financial and senior management, and our Board, with the registered independent accountants being accountable to the Audit Committee; and</w:t>
      </w: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as directed by our Board.</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In connection with these purposes, the Audit Committee annually selects, engages and evaluates the performance and ongoing qualifications of, and determines the compensation for, our independent registered public accounting firm, reviews our annual and quarterly financial statements and confirms the independence of our independent registered public accounting firm. The Audit Committee also meets with our management and independent registered public accounting firm regarding the adequacy of our financial controls and our compliance with legal, tax and regulatory matters and significant internal policies. While the Audit Committee has the responsibilities and powers set forth in its charter, it is not the duty of the Audit Committee to plan or conduct audits, to determine that our financial statements are complete and accurate or to determine that such statements are in accordance with accounting principles generally accepted in the United States (“U.S. GAAP”) and other applicable rules and regulations. Our management is responsible for the preparation of our financial statements in accordance with U.S. GAAP and our internal controls. Our independent registered public accounting firm is responsible for the audit work on our financial statements. It is also not the duty of the Audit Committee to conduct investigations or to assure compliance with laws, regulations and our policies and procedures. Our management is responsible for compliance with laws, regulations our policies and procedures.</w:t>
      </w:r>
    </w:p>
    <w:p>
      <w:pPr>
        <w:spacing w:after="0" w:line="17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During fiscal 2025, the Audit Committee held four meetings. The Audit Committee currently consists of Messrs. Glanville (Chairman), Baden and Hilarides. Our Board has determined that all members of the Audit Committee are independent as that term is defined in the NASDAQ Listing Standards and Rule 10A-3 promulgated under the Exchange Act of 1934, as amended (the “Exchange Act”). Our Board also has determined that each member of the Audit Committee is financially literate, and that Mr. Glanville has the necessary accounting and financial expertise to serve as chairman. Further, our Board has determined that each of Messrs. Glanville, Hilarides and Baden is an “audit committee financial expert” following a determination that each of them met the criteria for such designation under the Securities and Exchange Commission’s rules and regulations.</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business experience of each of the members of the Audit Committee, see “Proposal 1—Election of Directors— Information About Director Nominees.” The report of the Audit Committee appears under the heading “Audit Committee Report”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purposes of the Compensation Committee, as stated in its charter, include the following:</w:t>
      </w:r>
    </w:p>
    <w:p>
      <w:pPr>
        <w:spacing w:after="0" w:line="225" w:lineRule="exact"/>
        <w:rPr>
          <w:sz w:val="20"/>
          <w:szCs w:val="20"/>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approving the agreements, plans, policies and programs to compensate our officers and directors;</w:t>
      </w:r>
    </w:p>
    <w:p>
      <w:pPr>
        <w:spacing w:after="0" w:line="36" w:lineRule="exact"/>
        <w:rPr>
          <w:rFonts w:ascii="Times New Roman" w:cs="Times New Roman" w:eastAsia="Times New Roman" w:hAnsi="Times New Roman"/>
          <w:sz w:val="18"/>
          <w:szCs w:val="18"/>
          <w:color w:val="auto"/>
        </w:rPr>
      </w:pPr>
    </w:p>
    <w:p>
      <w:pPr>
        <w:ind w:left="1300" w:right="60" w:hanging="320"/>
        <w:spacing w:after="0" w:line="257"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Compensation Discussion and Analysis to be included in the proxy statement for our annual meeting of stockholders, if applicable, and to determine whether to recommend to our Board that the Compensation Discussion and Analysis, if any, be included in the proxy statement, in accordance with applicable rules and regulations;</w:t>
      </w:r>
    </w:p>
    <w:p>
      <w:pPr>
        <w:spacing w:after="0" w:line="1" w:lineRule="exact"/>
        <w:rPr>
          <w:rFonts w:ascii="Times New Roman" w:cs="Times New Roman" w:eastAsia="Times New Roman" w:hAnsi="Times New Roman"/>
          <w:sz w:val="18"/>
          <w:szCs w:val="18"/>
          <w:color w:val="auto"/>
        </w:rPr>
      </w:pPr>
    </w:p>
    <w:p>
      <w:pPr>
        <w:ind w:left="1300" w:right="760" w:hanging="320"/>
        <w:spacing w:after="0" w:line="250" w:lineRule="auto"/>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Compensation Committee Report for inclusion in the proxy statement, in accordance with, and once required by, applicable rules and regulations;</w:t>
      </w: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discharging our Board’s responsibilities relating to compensation of our officers and directors; and</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our Board may assign to the committee from time to time.</w:t>
      </w:r>
    </w:p>
    <w:p>
      <w:pPr>
        <w:spacing w:after="0" w:line="25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these purposes, our Board has entrusted the Compensation Committee with the overall responsibility for establishing, implementing and monitoring the compensation for our executive officers. In general, executive compensation matters are presented to the Compensation Committee or raised with the Compensation Committee in one of the following ways: (1) at the request of the Compensation Committee Chairman or another Compensation Committee member or member of our Board, (2) in accordance with the Compensation Committee’s agenda, which is reviewed by the Compensation Committee members and other directors on an annual basis, (3) by our Chief Executive Officer or (4) by the Compensation Committee’s outside compensation consultant, if a consultant has been engaged by the Compensation Committee.</w:t>
      </w:r>
    </w:p>
    <w:p>
      <w:pPr>
        <w:spacing w:after="0" w:line="18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works with the management team to implement and promote our executive compensation strategy. The most significant aspects of management’s involvement in this process are:</w:t>
      </w:r>
    </w:p>
    <w:p>
      <w:pPr>
        <w:spacing w:after="0" w:line="162" w:lineRule="exact"/>
        <w:rPr>
          <w:sz w:val="20"/>
          <w:szCs w:val="20"/>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materials in advance of Compensation Committee meetings for review by the Compensation Committee members;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employee performance;</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business goals; and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compensation arrangements and components for our employees.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Chief Executive Officer is instrumental to this process. Specifically, our Chief Executive Officer assists the Compensation Committee by:</w:t>
      </w:r>
    </w:p>
    <w:p>
      <w:pPr>
        <w:spacing w:after="0" w:line="225" w:lineRule="exact"/>
        <w:rPr>
          <w:sz w:val="20"/>
          <w:szCs w:val="20"/>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background information regarding our business goals;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performance of each of our executive officers (other than themselves); and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compensation arrangements and components for our executive officers (other than themselves).</w:t>
      </w:r>
    </w:p>
    <w:p>
      <w:pPr>
        <w:spacing w:after="0" w:line="25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other executive officers do not play a role in their own compensation determination, other than discussing individual performance objectives with our Chief Executive Officer.</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sole authority to retain and terminate any compensation consultant to be used to assist in the evaluation of the compensation of our executive officers and directors and also has the sole authority to approve the consultant’s fees and other retention terms.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Together with management and any counsel or other advisors deemed appropriate by the Compensation Committee, the Compensation Committee typically reviews and discusses the particular executive compensation matter presented and makes a final determination.</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applicable law, the Compensation Committee may form and delegate some or all its authority under its charter to subcommittees when it deems such action appropriate.</w:t>
      </w:r>
    </w:p>
    <w:p>
      <w:pPr>
        <w:spacing w:after="0" w:line="162" w:lineRule="exact"/>
        <w:rPr>
          <w:sz w:val="20"/>
          <w:szCs w:val="20"/>
          <w:color w:val="auto"/>
        </w:rPr>
      </w:pPr>
    </w:p>
    <w:p>
      <w:pPr>
        <w:ind w:right="860" w:firstLine="648"/>
        <w:spacing w:after="0" w:line="282" w:lineRule="auto"/>
        <w:rPr>
          <w:sz w:val="20"/>
          <w:szCs w:val="20"/>
          <w:color w:val="auto"/>
        </w:rPr>
      </w:pPr>
      <w:r>
        <w:rPr>
          <w:rFonts w:ascii="Times New Roman" w:cs="Times New Roman" w:eastAsia="Times New Roman" w:hAnsi="Times New Roman"/>
          <w:sz w:val="18"/>
          <w:szCs w:val="18"/>
          <w:color w:val="auto"/>
        </w:rPr>
        <w:t>During fiscal 2025, the Compensation Committee held one meeting. The Compensation Committee currently consists of Messrs. Blum (Chairman), Baden, Glanville and Hilarides.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purposes of the Nominating Committee, as stated in its charter, include the following:</w:t>
      </w:r>
    </w:p>
    <w:p>
      <w:pPr>
        <w:spacing w:after="0" w:line="225" w:lineRule="exact"/>
        <w:rPr>
          <w:sz w:val="20"/>
          <w:szCs w:val="20"/>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by our Board for election as directors at the annual meeting of stockholders; and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our Board may assign to the committee from time to time.</w:t>
      </w:r>
    </w:p>
    <w:p>
      <w:pPr>
        <w:spacing w:after="0" w:line="252"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fiscal 2025, the Nominating Committee did not meet. The Nominating Committee currently consists of Messrs. Blum (Chairman), Glanville and Hilarides.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Nominating Committee is responsible for establishing criteria for selecting new directors, actively seeking individuals to become directors and recommending such individuals to our Board. In seeking candidates for our Board, the Nominating Committee will consider the entirety of each candidate’s credentials. Currently, the Nominating Committee does not require director candidates to possess a specific set of minimum qualifications, as different factors may assume greater or lesser significance at particular times, and the needs of our Board may vary in light of its composition and the Nominating Committee’s perceptions about future issues and needs. However, while the Nominating Committee does not maintain a formal list of qualifications, in making its evaluation and recommendation of candidates, the Nominating Committee may consider, among other factors, diversity, age, skill, experience in the context of the needs of our Board, independence qualifications and whether prospective nominees have relevant business and financial experience, have industry or other specialized expertise and have high moral character. As set forth above, the Nominating Committee may consider diversity as one of a number of factors in identifying nominees for director and will continue to seek opportunities to enhance the diversity of directors serving on our Board. It does not, however, have a formal policy in this regard. The Nominating Committee views diversity broadly to include diversity of experience, skills and viewpoint as well as traditional diversity concepts such as race or gender.</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Nominating Committee may consider candidates for our Board from any reasonable source, including from a search firm engaged by the Nominating Committee or stockholder recommendations, provided that the procedures set forth below are followed. The Nominating Committee does not intend to alter the manner in which it evaluates candidates based on whether the candidate is recommended by a stockholder or not. However, in evaluating a candidate’s relevant business experience, the Nominating Committee may consider previous experience as a member of our Board.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Stockholders or a group of stockholders may recommend potential candidates for consideration by the Nominating Committee by sending a written request to our Corporate Secretary at MIND Technology, Inc., 2002 Timberloch Place, Suite 550, The Woodlands, Texas 77380-1187. For additional information regarding the submission of stockholder recommendations, see “Stockholder Proposals and Director Nominations.”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is now, or at any time has been, employed by or served as an officer of MIND Technology, Inc. or any of its subsidiaries or had any substantial business dealings with MIND Technology, Inc. or any of its subsidiaries. None of our executive officers is now, or at any time has been, a member of the compensation committee or board of directors of another entity whose executive officers has been a member of the Compensation Committee or our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Historically, our Board has reviewed and approved, as appropriate, related person transactions as they have been presented to our Board at the recommendation of management. Recognizing that related person transactions involving the Company present a heightened risk of conflicts of interest and/or improper valuation (or the perception thereof), our Board has adopted a formal written process for reviewing, approving and ratifying transactions with related persons, which is described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policy, any “Related Person Transaction” may be consummated or may continue only if:</w:t>
      </w:r>
    </w:p>
    <w:p>
      <w:pPr>
        <w:spacing w:after="0" w:line="225" w:lineRule="exact"/>
        <w:rPr>
          <w:sz w:val="20"/>
          <w:szCs w:val="20"/>
          <w:color w:val="auto"/>
        </w:rPr>
      </w:pPr>
    </w:p>
    <w:p>
      <w:pPr>
        <w:ind w:left="1300" w:right="120" w:hanging="320"/>
        <w:spacing w:after="0" w:line="261"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approves or ratifies the transaction in accordance with the guidelines set forth in the policy and if the transaction is on terms comparable to those that could be obtained in arm’s length dealings with an unrelated third party;</w:t>
      </w: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disinterested members of our Board; or</w:t>
      </w:r>
    </w:p>
    <w:p>
      <w:pPr>
        <w:spacing w:after="0" w:line="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compensation approved by the Compensation Committee.</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purposes, a “Related Person” is:</w:t>
      </w:r>
    </w:p>
    <w:p>
      <w:pPr>
        <w:spacing w:after="0" w:line="225" w:lineRule="exact"/>
        <w:rPr>
          <w:sz w:val="20"/>
          <w:szCs w:val="20"/>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officer (which includes, at a minimum, each executive vice president and Section 16 officer) or director;</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owning more than 5% of the Company (or its controlled affiliates);</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an immediate family member of a senior officer or director; or</w:t>
      </w:r>
    </w:p>
    <w:p>
      <w:pPr>
        <w:spacing w:after="0" w:line="36"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which is owned or controlled by someone listed above, or an entity in which someone listed above has a substantial ownership interest or control of that entity.</w:t>
      </w:r>
    </w:p>
    <w:p>
      <w:pPr>
        <w:spacing w:after="0" w:line="162"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these purposes, a “Related Person Transaction” is a transaction between the Company and any Related Person (including any transactions requiring disclosure under Item 404 of Regulation S-K under the Exchange Act), other than:</w:t>
      </w:r>
    </w:p>
    <w:p>
      <w:pPr>
        <w:spacing w:after="0" w:line="162" w:lineRule="exact"/>
        <w:rPr>
          <w:sz w:val="20"/>
          <w:szCs w:val="20"/>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available to all employees generally; and</w:t>
      </w:r>
    </w:p>
    <w:p>
      <w:pPr>
        <w:spacing w:after="0" w:line="36"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less than $5,000 when aggregated with all similar transactions.</w:t>
      </w:r>
    </w:p>
    <w:p>
      <w:pPr>
        <w:spacing w:after="0" w:line="2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Approval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determined that the Audit Committee is best suited to review and approve Related Person Transactions. Accordingly, at each calendar year’s first regularly scheduled Audit Committee meeting, management recommends Related Person Transactions to be entered into for that calendar year, including the proposed aggregate value of the transactions (if applicable). After review, the Audit Committee approves or disapproves the transactions and at each subsequently scheduled meeting, management updates the Audit Committee as to any material change applicable to those proposed transactions.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management recommends any further Related Person Transactions subsequent to the first calendar year meeting, the transactions may be presented to the Audit Committee for approval or preliminarily entered into by management subject to ratification by the Audit Committee. If ratification is not forthcoming, management will make all reasonable efforts to cancel or annul the transaction.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Board recognizes that situations exist where a significant opportunity may be presented to management or a member of our Board that may equally be available to the Company, either directly or by referral. Before the opportunity may be consummated by a Related Person (other than an otherwise unaffiliated 5% stockholder), the opportunity must be presented to our Board for consideration.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All Related Person Transactions are to be disclosed in our applicable filings as required by the Securities and Exchange Commission’s rules and regulations. Furthermore, all Related Person Transactions are to be disclosed to the Audit Committee, and any material Related Person Transaction are to be disclosed to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In January 2025, the Company retained Lucid Capital Markets, LLC (“Lucid”) to act as its financial advisor to evaluate strategic alternatives available to the Company, including potential acquisitions, divestitures, debt or equity infusions, and any other such transactions which may be deemed to add value to the Company and its shareholders (the “Financial Advisor Agreement”). Pursuant to the terms of the Financial Advisor Agreement, the Company will pay Lucid an upfront fee of $100,000 and a transaction fee if the Company consummates a transaction. The amount of any such fee is to be mutually agreeable based on the form and value of any transaction. The Vice Chairman of Lucid, Peter H. Blum, is the Non-Executive Chairman of our Board.</w:t>
      </w:r>
    </w:p>
    <w:p>
      <w:pPr>
        <w:spacing w:after="0" w:line="18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In addition, during fiscal 2024, Ladenburg Thalmann &amp; Co. Inc. (“Ladenburg”) provided advisor and arrangement services for a $3.75 million Loan and Security Agreement and received $75,000 in fees for such services. Additionally, Ladenburg provided advisory services related to the sale of our Klein Marine Systems, Inc. subsidiary and Ladenburg received fees of $405,000 for such services. The former Co-Chief Executive Officer and Co-President of Ladenburg, Peter H. Blum, is the Non-Executive Chairman of our Board. Mr. Blum did not receive any direct compensation with respect to either of the above transactions.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common stock as of May 19, 2025 by: (1) each person known by us to beneficially own more than 5% of the voting power of our common stock; (2) each of the executive officers named in the Summary Compensation Table below; (3) each of our directors and director nominees; and (4) all current directors and executive officers as a group. All persons listed have sole disposition and voting power with respect to the indicated shares except as otherwise indicated in the footnotes to the table. To our knowledge no person or entity is the beneficial owner of more than 5% of the voting power of our common stock as of May 19, 2025.</w:t>
      </w: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3380" w:type="dxa"/>
            <w:vAlign w:val="bottom"/>
            <w:gridSpan w:val="4"/>
          </w:tcPr>
          <w:p>
            <w:pPr>
              <w:jc w:val="center"/>
              <w:ind w:right="70"/>
              <w:spacing w:after="0" w:line="197" w:lineRule="exact"/>
              <w:rPr>
                <w:sz w:val="20"/>
                <w:szCs w:val="20"/>
                <w:color w:val="auto"/>
              </w:rPr>
            </w:pPr>
            <w:r>
              <w:rPr>
                <w:rFonts w:ascii="Times New Roman" w:cs="Times New Roman" w:eastAsia="Times New Roman" w:hAnsi="Times New Roman"/>
                <w:sz w:val="18"/>
                <w:szCs w:val="18"/>
                <w:b w:val="1"/>
                <w:bCs w:val="1"/>
                <w:color w:val="auto"/>
              </w:rPr>
              <w:t>Common Stock Beneficially</w:t>
            </w:r>
          </w:p>
        </w:tc>
      </w:tr>
      <w:tr>
        <w:trPr>
          <w:trHeight w:val="238"/>
        </w:trPr>
        <w:tc>
          <w:tcPr>
            <w:tcW w:w="7860" w:type="dxa"/>
            <w:vAlign w:val="bottom"/>
          </w:tcPr>
          <w:p>
            <w:pPr>
              <w:spacing w:after="0"/>
              <w:rPr>
                <w:sz w:val="20"/>
                <w:szCs w:val="20"/>
                <w:color w:val="auto"/>
              </w:rPr>
            </w:pPr>
          </w:p>
        </w:tc>
        <w:tc>
          <w:tcPr>
            <w:tcW w:w="2000" w:type="dxa"/>
            <w:vAlign w:val="bottom"/>
            <w:tcBorders>
              <w:bottom w:val="single" w:sz="8" w:color="auto"/>
            </w:tcBorders>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8"/>
              </w:rPr>
              <w:t>Owned</w:t>
            </w:r>
          </w:p>
        </w:tc>
        <w:tc>
          <w:tcPr>
            <w:tcW w:w="1380" w:type="dxa"/>
            <w:vAlign w:val="bottom"/>
            <w:tcBorders>
              <w:bottom w:val="single" w:sz="8" w:color="auto"/>
            </w:tcBorders>
          </w:tcPr>
          <w:p>
            <w:pPr>
              <w:spacing w:after="0"/>
              <w:rPr>
                <w:sz w:val="20"/>
                <w:szCs w:val="20"/>
                <w:color w:val="auto"/>
              </w:rPr>
            </w:pPr>
          </w:p>
        </w:tc>
      </w:tr>
      <w:tr>
        <w:trPr>
          <w:trHeight w:val="187"/>
        </w:trPr>
        <w:tc>
          <w:tcPr>
            <w:tcW w:w="7860" w:type="dxa"/>
            <w:vAlign w:val="bottom"/>
          </w:tcPr>
          <w:p>
            <w:pPr>
              <w:spacing w:after="0"/>
              <w:rPr>
                <w:sz w:val="16"/>
                <w:szCs w:val="16"/>
                <w:color w:val="auto"/>
              </w:rPr>
            </w:pPr>
          </w:p>
        </w:tc>
        <w:tc>
          <w:tcPr>
            <w:tcW w:w="2000" w:type="dxa"/>
            <w:vAlign w:val="bottom"/>
            <w:gridSpan w:val="3"/>
          </w:tcPr>
          <w:p>
            <w:pPr>
              <w:jc w:val="center"/>
              <w:ind w:right="540"/>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w:t>
            </w:r>
          </w:p>
        </w:tc>
        <w:tc>
          <w:tcPr>
            <w:tcW w:w="1380" w:type="dxa"/>
            <w:vAlign w:val="bottom"/>
          </w:tcPr>
          <w:p>
            <w:pPr>
              <w:jc w:val="right"/>
              <w:ind w:right="410"/>
              <w:spacing w:after="0" w:line="188" w:lineRule="exact"/>
              <w:rPr>
                <w:sz w:val="20"/>
                <w:szCs w:val="20"/>
                <w:color w:val="auto"/>
              </w:rPr>
            </w:pPr>
            <w:r>
              <w:rPr>
                <w:rFonts w:ascii="Times New Roman" w:cs="Times New Roman" w:eastAsia="Times New Roman" w:hAnsi="Times New Roman"/>
                <w:sz w:val="18"/>
                <w:szCs w:val="18"/>
                <w:b w:val="1"/>
                <w:bCs w:val="1"/>
                <w:color w:val="auto"/>
              </w:rPr>
              <w:t>Percent of</w:t>
            </w:r>
          </w:p>
        </w:tc>
      </w:t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2000" w:type="dxa"/>
            <w:vAlign w:val="bottom"/>
            <w:gridSpan w:val="3"/>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3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Class (2)</w:t>
            </w:r>
          </w:p>
        </w:tc>
      </w:tr>
      <w:tr>
        <w:trPr>
          <w:trHeight w:val="210"/>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1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(6 persons)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196,554(9)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Less than 1%</w:t>
      </w:r>
    </w:p>
    <w:p>
      <w:pPr>
        <w:spacing w:after="0" w:line="36" w:lineRule="exact"/>
        <w:rPr>
          <w:sz w:val="20"/>
          <w:szCs w:val="20"/>
          <w:color w:val="auto"/>
        </w:rPr>
      </w:pPr>
    </w:p>
    <w:p>
      <w:pPr>
        <w:ind w:left="66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Securities and Exchange Commission in Rule 13d-3 under the Exchange Act and includes more than the typical forms of stock ownership, that is, stock held in the person’s name. The term also includes what is referred to as “indirect ownership,” meaning ownership of shares as to which a person has or shares investment or voting power. For the purpose of this table, a person or group of persons is deemed to have “beneficial ownership” of any shares as of May 19, 2025, if that person or group has the right to acquire shares within 60 days after such date.</w:t>
      </w:r>
    </w:p>
    <w:p>
      <w:pPr>
        <w:spacing w:after="0" w:line="3"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shares outstanding of 7,969,421 at May 19, 2025, and shares which such individual has the right to acquire within 60 days of May 19, 2025.</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4,667 shares underlying exercisable options.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6,667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28,333 shares underlying exercisable options.</w:t>
      </w:r>
    </w:p>
    <w:p>
      <w:pPr>
        <w:sectPr>
          <w:pgSz w:w="11900" w:h="16838" w:orient="portrait"/>
          <w:cols w:equalWidth="0" w:num="1">
            <w:col w:w="11240"/>
          </w:cols>
          <w:pgMar w:left="320" w:top="121" w:right="339" w:bottom="89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93"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Five individuals will be elected at the Annual Meeting to serve as directors until the next annual meeting, each until their respective successors are duly elected and qualified. Stockholders may not cumulate their votes in the election of our directors. Our Board has nominated the five individuals listed below to serve until our 2026 Annual Meeting. All of the director nominees are currently serving on our Board. Certain individual qualifications and skills of our directors that contribute to our Board’s effectiveness as a whole are described below in each director’s biographical information below.</w:t>
      </w:r>
    </w:p>
    <w:p>
      <w:pPr>
        <w:spacing w:after="0" w:line="18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persons appointed as proxies on the enclosed proxy card will vote such proxy “FOR” the persons nominated for election to our Board, except to the extent authority to vote is expressly withheld with respect to one or more nominees. If any nominee is unable to serve as a director for any reason, all shares represented by proxies pursuant to the enclosed proxy card, absent contrary instructions, will be voted for any substitute nominee designated by our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 director nominees identified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Director Nominees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ages, as of May 19, 2025, of our current directors, each of whom is a director nominee. Our directors are elected annually and serve one-year terms or until their death, resignation or removal.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Borders>
              <w:bottom w:val="single" w:sz="8" w:color="auto"/>
            </w:tcBorders>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7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Positions Held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09"/>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w:t>
            </w:r>
          </w:p>
        </w:tc>
        <w:tc>
          <w:tcPr>
            <w:tcW w:w="176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68</w:t>
            </w: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Non-Executive Chairman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7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71</w:t>
            </w: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76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66</w:t>
            </w: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76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66</w:t>
            </w:r>
          </w:p>
        </w:tc>
        <w:tc>
          <w:tcPr>
            <w:tcW w:w="4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6"/>
        </w:trPr>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760" w:type="dxa"/>
            <w:vAlign w:val="bottom"/>
            <w:shd w:val="clear" w:color="auto" w:fill="CCEEFF"/>
          </w:tcPr>
          <w:p>
            <w:pPr>
              <w:jc w:val="center"/>
              <w:ind w:left="970"/>
              <w:spacing w:after="0"/>
              <w:rPr>
                <w:sz w:val="20"/>
                <w:szCs w:val="20"/>
                <w:color w:val="auto"/>
              </w:rPr>
            </w:pPr>
            <w:r>
              <w:rPr>
                <w:rFonts w:ascii="Times New Roman" w:cs="Times New Roman" w:eastAsia="Times New Roman" w:hAnsi="Times New Roman"/>
                <w:sz w:val="18"/>
                <w:szCs w:val="18"/>
                <w:color w:val="auto"/>
                <w:w w:val="99"/>
              </w:rPr>
              <w:t>77</w:t>
            </w:r>
          </w:p>
        </w:tc>
        <w:tc>
          <w:tcPr>
            <w:tcW w:w="4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Peter H. Blum </w:t>
      </w:r>
      <w:r>
        <w:rPr>
          <w:rFonts w:ascii="Times New Roman" w:cs="Times New Roman" w:eastAsia="Times New Roman" w:hAnsi="Times New Roman"/>
          <w:sz w:val="18"/>
          <w:szCs w:val="18"/>
          <w:color w:val="auto"/>
        </w:rPr>
        <w:t>has been a member of our Board since July 2000 and was elected Non-Executive Chairman of our Board on July 8, 2004. Mr. Blum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currently the Vice Chairman of Lucid Capital Markets, LLC, a full-service investment and merchant banker, where he has been employed since May 2024. Until May 2024, he was the Co-Chief Executive Officer and Co-President of Ladenburg Thalmann &amp; Co., Inc., an investment banking firm, where he was employed since 2004. Prior to 2004, Mr. Blum was a senior investment banker with various Wall Street firms. Mr. Blum started his career with Arthur Young &amp; Co. as a Certified Public Accountant and received a Bachelor of Business Administration degree from the University of Wisconsin-Madison. Mr. Blum has over 30 years of experience as an investment banker in the energy industry during which time he provided consultation and advice to a variety of companies. He also has extensive experience in financial and capital markets. Our Board believes that Mr. Blum’s experience supports its efforts in overseeing and advising on corporate strategy and financial matters, enabling him to effectively serve as a director on our Board.</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Robert P. Capps </w:t>
      </w:r>
      <w:r>
        <w:rPr>
          <w:rFonts w:ascii="Times New Roman" w:cs="Times New Roman" w:eastAsia="Times New Roman" w:hAnsi="Times New Roman"/>
          <w:sz w:val="18"/>
          <w:szCs w:val="18"/>
          <w:color w:val="auto"/>
        </w:rPr>
        <w:t>has been a member of our Board since July 2004. In June 2006, Mr. Capps was appointed as our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Chief Financial Officer. In September 2015, Mr. Capps was named to the additional position of Co-Chief Executive Officer. In August 2021, Mr. Capps was appointed to sole Chief Executive Officer and President of the Company. From July 1999 until May 2006, he was the Executive Vice President and Chief Financial Officer of TeraForce Technology Corporation, a publicly held provider of defense electronics products. From 1996 to 1999, Mr. Capps was Executive Vice President and Chief Financial Officer of Dynamex, Inc., a NASDAQ-listed supplier of same-day transportation services. Prior to his employment with Dynamex, Mr. Capps was Executive Vice President and Chief Financial Officer of Hadson Corporation, a New York Stock Exchange-listed energy company. Mr. Capps was formerly with Arthur Young &amp; Co. Mr. Capps holds a Bachelor of Accountancy degree from the University of Oklahoma. Mr. Capps has over 35 years of financial experience, including more than 20 years as chief financial officer for public companies, including ours. Our Board believes that Mr. Capps’ experience allows him to offer valuable perspectives on our corporate planning, budgeting, and financial reporting, thereby enabling him to effectively serve as a director on our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Vice Admiral William H. Hilarides (retired) </w:t>
      </w:r>
      <w:r>
        <w:rPr>
          <w:rFonts w:ascii="Times New Roman" w:cs="Times New Roman" w:eastAsia="Times New Roman" w:hAnsi="Times New Roman"/>
          <w:sz w:val="18"/>
          <w:szCs w:val="18"/>
          <w:color w:val="auto"/>
        </w:rPr>
        <w:t>was appointed to our Board in August 2019 on the recommendation of the Nominating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Hilarides is a graduate of the U.S. Naval Academy and was commander of Naval Sea Systems Command (“NAVSEA”) prior to his retirement in 2016. As NAVSEA commander, he oversaw a global workforce of more than 56,000 military and civilian personnel responsible for the development, delivery and maintenance of the Navy’s ships, submarines and systems. He held a number of other posts during his career, including director, Advanced Submarine Research and Development, program manager of the SSGN Program, program executive officer for submarines and commander of the nuclear submarine USS Key West. Our Board believes that this experience managing large complex organizations and knowledge of sophisticated marine technologies enables Mr. Hilarides to effectively serve as a director on our Board.</w:t>
      </w:r>
    </w:p>
    <w:p>
      <w:pPr>
        <w:spacing w:after="0" w:line="183"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S. Glanville </w:t>
      </w:r>
      <w:r>
        <w:rPr>
          <w:rFonts w:ascii="Times New Roman" w:cs="Times New Roman" w:eastAsia="Times New Roman" w:hAnsi="Times New Roman"/>
          <w:sz w:val="18"/>
          <w:szCs w:val="18"/>
          <w:color w:val="auto"/>
        </w:rPr>
        <w:t>was appointed to our Board in September 2015 based on the recommendation of the Nominating Committee. Mr. Glanville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managing partner of Eschelon Advisors, LP, and affiliates, providing energy and private equity investment and advisory services. From 1999-2002, Mr. Glanville served as vice president of technology and new ventures for Reliant Energy, Inc., one of the world’s largest international energy services companies, and its affiliate, Reliant Resources, Inc. Mr. Glanville currently serves on the board of directors of the privately held oil and gas exploration and production companies Crescent Pass Energy Holdings, L.L.C. and Strand Energy, L.L.C. Since May 2021, Mr. Glanville has served on the board of Enchant Energy Corporation, a private company developing carbon capture projects, and is currently its Vice Chair. Mr. Glanville served from 2001 to</w:t>
      </w:r>
    </w:p>
    <w:p>
      <w:pPr>
        <w:spacing w:after="0" w:line="2"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18"/>
          <w:szCs w:val="18"/>
          <w:color w:val="auto"/>
        </w:rPr>
        <w:t>2022 as a Director, including service as Chair of the Audit/Finance Committee and member of the Compensation and Corporate Governance Committees of Itron, Inc., a publicly traded technology and services company dedicated to the resourceful use of energy and water. He also served as Chairman of the Texas Tri-Cities branch (Houston, Austin, San Antonio) of the National Association of Corporate Directors (NACD) from 2011 to 2016. Mr. Glanville graduated with a Master of Science degree in Mineral Economics from the Colorado School of Mines and holds a Bachelor of Arts degree in Economics from the University of Virginia. Our Board believes that Mr. Glanville’s operational and financial experience in various senior management positions and his experience as a director of a public company enable him to effectively serve as a director on our Board.</w:t>
      </w:r>
    </w:p>
    <w:p>
      <w:pPr>
        <w:spacing w:after="0" w:line="18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Alan P. Baden </w:t>
      </w:r>
      <w:r>
        <w:rPr>
          <w:rFonts w:ascii="Times New Roman" w:cs="Times New Roman" w:eastAsia="Times New Roman" w:hAnsi="Times New Roman"/>
          <w:sz w:val="18"/>
          <w:szCs w:val="18"/>
          <w:color w:val="auto"/>
        </w:rPr>
        <w:t>was appointed to our Board in May 2022 based on the recommendation of the Nominating Committee. Mr. Baden is a retired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finance and securities attorney. Mr. Baden practiced law in Ohio, Texas and New York. From 2014 to 2021, Mr. Baden was a partner and then counsel in the firm of Thompson &amp; Knight L.L.P., which merged with Holland &amp; Knight L.L.P. in 2021, where he was a consulting counsel until his retirement in 2022. Prior to joining Thompson &amp; Knight, Mr. Baden was a partner in the Houston and New York offices of the law firm of Vinson &amp; Elkins, where he practiced for over 35 years. Mr. Baden is a graduate of the Wharton School of the University of Pennsylvania with a BS in Economics degree and Case Western Reserve Law School with a JD degree. Our Board believes that Mr. Baden’s extensive legal and financial experience as partner in various prestigious law firms enables him to effectively serve as a director on our Board.</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titles, as of May 19, 2025, of each of our executive officers. Our executive officers are elected annually by our Board and serve one-year terms or until their death, resignation or removal by our Board.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24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71</w:t>
            </w: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2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65</w:t>
            </w: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and Chief Financial Officer and Chief Accounting Officer</w:t>
            </w: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Robert P. Capps</w:t>
      </w:r>
      <w:r>
        <w:rPr>
          <w:rFonts w:ascii="Times New Roman" w:cs="Times New Roman" w:eastAsia="Times New Roman" w:hAnsi="Times New Roman"/>
          <w:sz w:val="18"/>
          <w:szCs w:val="18"/>
          <w:color w:val="auto"/>
        </w:rPr>
        <w:t>’ biographical information may be located under “Proposal 1: Election of Directors—Information About Director Nominees.”</w:t>
      </w:r>
    </w:p>
    <w:p>
      <w:pPr>
        <w:spacing w:after="0" w:line="225"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 A. Cox </w:t>
      </w:r>
      <w:r>
        <w:rPr>
          <w:rFonts w:ascii="Times New Roman" w:cs="Times New Roman" w:eastAsia="Times New Roman" w:hAnsi="Times New Roman"/>
          <w:sz w:val="18"/>
          <w:szCs w:val="18"/>
          <w:color w:val="auto"/>
        </w:rPr>
        <w:t>joined MIND as Vice President Finance and Accounting in February 2017 and was appointed Chief Accounting Officer in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In August 2021, Mr. Cox was appointed Chief Financial Officer. Prior to joining MIND, Mr. Cox was employed by Key Energy Services, Inc., an oilfield service company, where he served as Vice President, Controller and Principal Accounting Officer from March 2012 to October 2016, and Vice President, Tax, from October 2009 to March 2012. From December 2008 to September 2009, Mr. Cox served as Chief Financial Officer for Recon International, a privately held company providing construction services to military and private organizations in Afghanistan. From August 1990 through November 2008, Mr. Cox held a variety of positions with BJ Services Company, including Director of Tax, Middle East Region Controller and Assistant Corporate Controller. He also worked in the tax practice of Arthur Andersen LLP from 1986 to 1990. Mr. Cox is a Certified Public Accountant (inactive) and holds a Bachelor of Accountancy degree from Houston Baptist University.</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Act of 1933, for purposes of the Securities and Exchange Commission’s executive compensation disclosure rules. In accordance with such rules, we are required to provide a Summary Compensation Table and an Outstanding Equity Awards at Fiscal Year-End Table, as well as limited narrative disclosures regarding the compensation of our Named Executive Officers. Further, our reporting obligations extend only to the individuals serving as our principal executive officer and the two most highly compensated executive officers, following our principal executive officer. For fiscal 2025, our “Named Executive Officers”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09"/>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19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 A. Cox</w:t>
            </w:r>
          </w:p>
        </w:tc>
        <w:tc>
          <w:tcPr>
            <w:tcW w:w="20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Vice President and Chief Financial Officer and Chief Accounting</w:t>
            </w:r>
          </w:p>
        </w:tc>
        <w:tc>
          <w:tcPr>
            <w:tcW w:w="0" w:type="dxa"/>
            <w:vAlign w:val="bottom"/>
          </w:tcPr>
          <w:p>
            <w:pPr>
              <w:spacing w:after="0"/>
              <w:rPr>
                <w:sz w:val="1"/>
                <w:szCs w:val="1"/>
                <w:color w:val="auto"/>
              </w:rPr>
            </w:pPr>
          </w:p>
        </w:tc>
      </w:tr>
      <w:tr>
        <w:trPr>
          <w:trHeight w:val="126"/>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Ended January 31, 2025</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with respect to our Named Executive Officers, information relating to the compensation earned for services rendered in all capacities during fiscal years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January 31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Awards (2)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22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2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continue"/>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vMerge w:val="continue"/>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115,000</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260,900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678,293</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285,000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298,434</w:t>
            </w:r>
          </w:p>
        </w:tc>
        <w:tc>
          <w:tcPr>
            <w:tcW w:w="0" w:type="dxa"/>
            <w:vAlign w:val="bottom"/>
          </w:tcPr>
          <w:p>
            <w:pPr>
              <w:spacing w:after="0"/>
              <w:rPr>
                <w:sz w:val="1"/>
                <w:szCs w:val="1"/>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Cox</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232,660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541,511</w:t>
            </w:r>
          </w:p>
        </w:tc>
        <w:tc>
          <w:tcPr>
            <w:tcW w:w="0" w:type="dxa"/>
            <w:vAlign w:val="bottom"/>
          </w:tcPr>
          <w:p>
            <w:pPr>
              <w:spacing w:after="0"/>
              <w:rPr>
                <w:sz w:val="1"/>
                <w:szCs w:val="1"/>
                <w:color w:val="auto"/>
              </w:rPr>
            </w:pPr>
          </w:p>
        </w:tc>
      </w:tr>
      <w:tr>
        <w:trPr>
          <w:trHeight w:val="216"/>
        </w:trPr>
        <w:tc>
          <w:tcPr>
            <w:tcW w:w="2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and CFO</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255,000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267,234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granted in 2025 or 2024.</w:t>
      </w:r>
    </w:p>
    <w:p>
      <w:pPr>
        <w:spacing w:after="0" w:line="252"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option awards granted to our Named Executive Officers in fiscal 2025 and 2024, computed in accordance with FASB ASC Topic 718 and determined without regard to estimated forfeitures. These amounts reflect our accounting valuation of these awards, and do not correspond to any actual value that may be recognized by our Named Executive Officers. The assumptions used in the calculation of these amounts are discussed in Note 16 to our audited financial statements included in our Annual Report on Form 10-K for the fiscal year ended January 31, 2025. The fiscal 2025 option awards were granted on September 24, 2024, and January 20, 2025, to Messrs. Capps and Cox. See “Executive Compensation--Narrative Disclosure to Summary Compensation Table--Long-Term Equity-Based Incentives” for a description of the material features of the option awards granted to our Named Executive Officers in fiscal 2025 and 2024. No option awards were granted in fiscal 2024.</w:t>
      </w:r>
    </w:p>
    <w:p>
      <w:pPr>
        <w:spacing w:after="0" w:line="19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the “All Other Compensation” column for fiscal 2025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401(k)</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Matching</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14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vMerge w:val="continue"/>
          </w:tcPr>
          <w:p>
            <w:pPr>
              <w:spacing w:after="0"/>
              <w:rPr>
                <w:sz w:val="18"/>
                <w:szCs w:val="18"/>
                <w:color w:val="auto"/>
              </w:rPr>
            </w:pPr>
          </w:p>
        </w:tc>
        <w:tc>
          <w:tcPr>
            <w:tcW w:w="12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continue"/>
          </w:tcPr>
          <w:p>
            <w:pPr>
              <w:spacing w:after="0"/>
              <w:rPr>
                <w:sz w:val="18"/>
                <w:szCs w:val="18"/>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16,000</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17,393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1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2,051</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11,800</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13,851</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140" w:type="dxa"/>
            <w:vAlign w:val="bottom"/>
          </w:tcPr>
          <w:p>
            <w:pPr>
              <w:spacing w:after="0"/>
              <w:rPr>
                <w:sz w:val="24"/>
                <w:szCs w:val="24"/>
                <w:color w:val="auto"/>
              </w:rPr>
            </w:pPr>
          </w:p>
        </w:tc>
        <w:tc>
          <w:tcPr>
            <w:tcW w:w="13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our Named Executive Officers with an annual base salary to compensate them for services rendered to us during the year.</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to providing a base salary that the Compensation Committee considers to be competitive with the market, we determine base salaries based on the duties and responsibilities of each officer, retention concerns, and a desire to align the salary level of each of our Named Executive Officers to promote internal pay equity relative to our other officers. To that end, annual salary adjustments are based on the Compensation Committee’s analysis of many individual factors, including:</w:t>
      </w:r>
    </w:p>
    <w:p>
      <w:pPr>
        <w:spacing w:after="0" w:line="180" w:lineRule="exact"/>
        <w:rPr>
          <w:sz w:val="20"/>
          <w:szCs w:val="20"/>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of the officer;</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the officer has performed these responsibilities;</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level of expertise and experience required for the officer’s position;</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impact of the officer’s position;</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contribution and demonstrated individual performance of the officer; and</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economic environment in which we are currently operating.</w:t>
      </w:r>
    </w:p>
    <w:p>
      <w:pPr>
        <w:spacing w:after="0" w:line="25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individual factors listed above, the Compensation Committee considers our overall business performance, such as our net earnings, earnings before interest, taxes, depreciation and amortization ("EBITDA"), sales growth and implementation of directives. While these metrics generally provide context for making base salary decisions, base salary decisions do not depend on the attainment of specific goals or performance levels, no specific weighting is given to any one factor over another, and specific performance criteria or targets are not communicated to our Named Executive Officers. Base salaries are generally reviewed annually but are not automatically increased if the Compensation Committee believes that an award in other elements of compensation would be more appropriate in light of the Compensation Committee’s stated objectives.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Bonus Awards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annual cash bonus awards are designed to reward our Named Executive Officers for achieving performance results that are important to our operations and that contribute to the creation of stockholder value.</w:t>
      </w:r>
    </w:p>
    <w:p>
      <w:pPr>
        <w:spacing w:after="0" w:line="162"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For fiscal 2025, the Compensation Committee determined that given the Company’s recent performance and financial position, cash bonuses would be appropriate. Accordingly, cash bonuses were awarded to Messrs. Capps and Cox in fiscal 2025 in the amounts of $115,000 and $25,000, respectively.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Equity-Based Incentives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long-term equity-based incentive program is designed to give our Named Executive Officers a longer-term stake in the Company, act as a long-term retention tool and align the interests of our officers and stockholders by tying compensation to growth in stockholder value. To achieve these objectives, we have historically relied on a combination of grants of stock options and restricted stock, which are subject to vesting requirements and are made under the Stock Awards Plan. In its considerations of whether or not to grant equity awards to our Named Executive Officers and, if equity awards are so granted, in its considerations of the type and size of the awards, the Compensation Committee considers the Company-level performance, the applicable officer’s performance, comparative share ownership by similarly situated executives of comparable companies, the amount of equity previously awarded to the applicable officer and the vesting schedule of outstanding awards. While there is no formal weighting of these elements, the Compensation Committee considers each in its analysis.</w:t>
      </w:r>
    </w:p>
    <w:p>
      <w:pPr>
        <w:spacing w:after="0" w:line="19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No restricted stock awards were granted in fiscal 2025 or 2024. In September 2024 and January 2025, the Compensation Committee granted options to purchase common stock to each of our Named Executive Officers as follows: Mr. Capps - options to purchase 35,000 and 30,000 shares of common stock, respectively; Mr. Cox - options to purchase 25,000 and 30,000 shares of common stock, respectively. The closing stock price on the grant dates were $3.99 and $7.47 per share, respectively. The options vest in equal one-third increments on September 24, 2025, September 24, 2026, and September 24, 2027, and in equal one-third increments on January 20, 2026, January 20, 2027, and January 20, 2028, respectively, subject to the applicable Named Executive Officer’s continued employment through each such vesting dates. The vesting provisions are consistent with those of equity awards granted by our peer companies and further facilitate our retention efforts.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Outstanding stock options granted to the Named Executive Officers under our Stock Awards Plan will become fully vested and exercisable upon a Named Executive Officer’s death or termination of employment due to disability or upon a change in control of the Company. Such options that become vested and exercisable due to death or disability will remain exercisable until the earlier to occur of (1) the end of the original ten-year term of the option or</w:t>
      </w:r>
    </w:p>
    <w:p>
      <w:pPr>
        <w:spacing w:after="0" w:line="2" w:lineRule="exact"/>
        <w:rPr>
          <w:sz w:val="20"/>
          <w:szCs w:val="20"/>
          <w:color w:val="auto"/>
        </w:rPr>
      </w:pPr>
    </w:p>
    <w:p>
      <w:pPr>
        <w:ind w:firstLine="8"/>
        <w:spacing w:after="0" w:line="25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one-year following the date of death or termination of employment due to disability, as applicable. Options that become vested and exercisable due to a change of control will remain exercisable for the remainder of the applicable ten-year term as provided under the option award agreement. Any outstanding stock options (whether vested or unvested) will be cancelled without payment if the Named Executive Officer is terminated for cause. If the Named Executive Officer is terminated for any reason other than cause, death or disability, (A) any unvested stock options will be cancelled without payment, and (B) any vested stock options will remain exercisable for the lesser of the original term of the option or the three-month period following the date of termination.</w:t>
      </w:r>
    </w:p>
    <w:p>
      <w:pPr>
        <w:spacing w:after="0" w:line="19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purposes of the outstanding stock options granted to our Named Executive Officers under our Stock Awards Plan, “cause” generally means that the Named Executive Officer: (1) acts dishonestly, and the direct or indirect consequence (or intended consequence) of such action is personal enrichment to that executive at the expense of the Company or any affiliate, (2) is unwilling to perform his duties in a satisfactory manner (as determined in good faith by our Board) or (3) fails to consistently perform his duties at a level that our Board has, by written notice, informed the officer is expected from him. A Named Executive Officer will be considered “disabled” if he becomes entitled to benefits under our long-term disability plan.</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our Plan, a “change in control” for purposes of the stock options held by our Named Executive Officers means the occurrence of any of the following events:</w:t>
      </w:r>
    </w:p>
    <w:p>
      <w:pPr>
        <w:spacing w:after="0" w:line="162" w:lineRule="exact"/>
        <w:rPr>
          <w:sz w:val="20"/>
          <w:szCs w:val="20"/>
          <w:color w:val="auto"/>
        </w:rPr>
      </w:pPr>
    </w:p>
    <w:p>
      <w:pPr>
        <w:ind w:left="1140" w:right="280" w:hanging="322"/>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the surviving entity in any merger, consolidation or other reorganization with (or we survive only as a subsidiary of) an entity other than a previously wholly-owned subsidiary of the Company;</w:t>
      </w: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lease or exchange all or substantially all of our assets to a third party;</w:t>
      </w:r>
    </w:p>
    <w:p>
      <w:pPr>
        <w:spacing w:after="0" w:line="1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dissolve or liquidate the Company;</w:t>
      </w:r>
    </w:p>
    <w:p>
      <w:pPr>
        <w:spacing w:after="0" w:line="36" w:lineRule="exact"/>
        <w:rPr>
          <w:rFonts w:ascii="Times New Roman" w:cs="Times New Roman" w:eastAsia="Times New Roman" w:hAnsi="Times New Roman"/>
          <w:sz w:val="18"/>
          <w:szCs w:val="18"/>
          <w:color w:val="auto"/>
        </w:rPr>
      </w:pPr>
    </w:p>
    <w:p>
      <w:pPr>
        <w:ind w:left="1140" w:right="660" w:hanging="322"/>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acquires ownership of our securities which represent 35% or more of the voting power of our then outstanding securities entitled to vote in the election of directors; or</w:t>
      </w:r>
    </w:p>
    <w:p>
      <w:pPr>
        <w:ind w:left="1140" w:right="300" w:hanging="322"/>
        <w:spacing w:after="0" w:line="255"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where less than the majority of the directors are “incumbent directors.” An “incumbent director” is any director as of the date the Plan was adopted or, generally, any director who is elected to our Board after such time by the vote of at least a majority of the directors in place at the time of the Plan’s adoption.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base salaries, annual cash incentives and long-term equity-based incentives, we provide the following forms of compensation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205" w:lineRule="exact"/>
        <w:rPr>
          <w:sz w:val="20"/>
          <w:szCs w:val="20"/>
          <w:color w:val="auto"/>
        </w:rPr>
      </w:pPr>
    </w:p>
    <w:p>
      <w:pPr>
        <w:ind w:left="1140" w:right="20" w:hanging="322"/>
        <w:spacing w:after="0" w:line="255"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 Welfare and Retirement Benefits. </w:t>
      </w:r>
      <w:r>
        <w:rPr>
          <w:rFonts w:ascii="Times New Roman" w:cs="Times New Roman" w:eastAsia="Times New Roman" w:hAnsi="Times New Roman"/>
          <w:sz w:val="18"/>
          <w:szCs w:val="18"/>
          <w:color w:val="auto"/>
        </w:rPr>
        <w:t>Our Named Executive Officers are eligible to participate in our medical, dental, vision, 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life insurance programs to meet their health and welfare needs. This is a fixed component of compensation, and the same benefits are provided on a non- discriminatory basis to all our employees in the U.S. In addition, our Named Executive Officers participate in our 401(k) retirement plan, which is available to all of our employees in the U.S. These benefits are provided to assure that we are able to maintain a competitive position in terms of attracting and retaining officers and other employees.</w:t>
      </w:r>
    </w:p>
    <w:p>
      <w:pPr>
        <w:ind w:left="1140" w:right="400" w:hanging="322"/>
        <w:spacing w:after="0" w:line="253"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Perquisites and Other Personal Benefits. </w:t>
      </w:r>
      <w:r>
        <w:rPr>
          <w:rFonts w:ascii="Times New Roman" w:cs="Times New Roman" w:eastAsia="Times New Roman" w:hAnsi="Times New Roman"/>
          <w:sz w:val="18"/>
          <w:szCs w:val="18"/>
          <w:color w:val="auto"/>
        </w:rPr>
        <w:t>We believe that the total mix of compensation and benefits provided to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is competitive, and perquisites should generally not play a large role in such officers’ total compensation. As a result, the perquisites and other personal benefits we may provide to our Named Executive Officers are limited. We currently do not provide our Named Executive Officers any perquisites or other personal benefits.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Severance or Change in Control Agreements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September 11, 2017, we entered into an employment agreement with Mr. Capps. We entered into the employment agreement to ensure that Mr. Capps would perform his role for an extended period of time. The employment agreement has a two-year initial term which automatically renews and extends for a period of twelve months upon expiration of the initial term or any then-existing renewal term unless a written notice of nonrenewal is delivered by either party not less than 60 days prior to expiration of the then-existing term.</w:t>
      </w:r>
    </w:p>
    <w:p>
      <w:pPr>
        <w:spacing w:after="0" w:line="18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employment agreement provides for an annualized base salary equal to $285,000 for Mr. Capps, subject to increase from time to time at the discretion of the Compensation Committee. In the event that Mr. Capp’s employment is terminated by us without cause, or by Mr. Capps for good reason, he will, subject to execution and non-revocation of a release of claims, be eligible to receive a severance payment in an amount equal to two times the sum of such executive’s annualized base salary then in effect plus the greater of (a) the amount of the bonus received by the executive for the most recently completed bonus year and (b) 25% of the executive’s annualized base salary then in effect.</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December 1, 2024, we entered into an employment agreement with Mr. Cox. We entered into the employment agreement to ensure that Mr. Cox would perform his role for an extended period of time. The employment agreement has a two-year initial term which automatically renews and extends for a period of twelve months upon expiration of the initial term or any then-existing renewal term unless a written notice of nonrenewal is delivered by either party not less than 60 days prior to expiration of the then-existing term.</w:t>
      </w:r>
    </w:p>
    <w:p>
      <w:pPr>
        <w:spacing w:after="0" w:line="180"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The employment agreement provides for an annualized base salary equal to $270,000 for Mr. Cox, subject to increase from time to time at the discretion of the Compensation Committee. In the event that Mr. Cox’s employment is terminated by us without cause, or by Mr. Cox for good reason, he will, subject to execution and non-revocation of a release of claims, be eligible to receive a severance payment in an amount equal to one times the sum of such executive’s annualized base salary then in effect plus the greater of (a) the amount of the bonus received by the executive for the most recently completed bonus year and (b) 25% of the executive’s annualized base salary then in effect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employment agreements, the following terms are generally defined as follows:</w:t>
      </w:r>
    </w:p>
    <w:p>
      <w:pPr>
        <w:spacing w:after="0" w:line="225" w:lineRule="exact"/>
        <w:rPr>
          <w:sz w:val="20"/>
          <w:szCs w:val="20"/>
          <w:color w:val="auto"/>
        </w:rPr>
      </w:pPr>
    </w:p>
    <w:p>
      <w:pPr>
        <w:ind w:left="1140" w:right="40" w:hanging="322"/>
        <w:spacing w:after="0" w:line="254"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is deemed to exist if an executive: (1) engages in fraud, breach of fiduciary duty, theft or embezzlement against the Company or its affiliates, (2) willfully refuses to perform his duties, (3) materially breaches the confidentiality, non-competition or non-solicitation obligations under his employment agreement, (4) is convicted of, or pleads guilty to, a felony or crime involving moral turpitude, (5) engages in willful misconduct or gross negligence in the performance of his duties that could have a material adverse effect on the Company or, (6) materially breaches and violates the Companies policies pertaining to sexual harassment, discrimination or insider trading.</w:t>
      </w:r>
    </w:p>
    <w:p>
      <w:pPr>
        <w:spacing w:after="0" w:line="3" w:lineRule="exact"/>
        <w:rPr>
          <w:rFonts w:ascii="Times New Roman" w:cs="Times New Roman" w:eastAsia="Times New Roman" w:hAnsi="Times New Roman"/>
          <w:sz w:val="18"/>
          <w:szCs w:val="18"/>
          <w:color w:val="auto"/>
        </w:rPr>
      </w:pPr>
    </w:p>
    <w:p>
      <w:pPr>
        <w:ind w:left="1140" w:right="140" w:hanging="322"/>
        <w:spacing w:after="0" w:line="250"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defined as: (1) a material reduction in the executive’s position, responsibilities or duties, (2) relocation of the geographic location of the executive’s place of employment by more than 50 miles, or (3) a material breach by the Company of any provision of the employment agreement;</w:t>
      </w:r>
    </w:p>
    <w:p>
      <w:pPr>
        <w:spacing w:after="0" w:line="1"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“disability” will exist if the applicable executive is entitled to receive long-term disability benefits under the Company’s disability plan.</w:t>
      </w:r>
    </w:p>
    <w:p>
      <w:pPr>
        <w:spacing w:after="0" w:line="234"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employment agreements also contain non-solicitation and non-compete provisions that are effective during the term of the employment agreement and for 24 months following the date of 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Prior Year Advisory Vote on Executive Compensation and Fiscal 2025 Compensation Decisions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appropriateness of our executive compensation program, the Compensation Committee considers, among other things, the results of the prior year’s advisory vote on executive compensation (“say-on-pay”). At the 2024 Annual Meeting, the proposal to approve the compensation of our Named Executive Officers received the support of approximately 83% of our stockholders voting on the matter. The level of support was calculated based on votes in favor of the proposal divided by the sum of votes against the proposal plus votes in favor of the proposal.</w:t>
      </w:r>
    </w:p>
    <w:p>
      <w:pPr>
        <w:spacing w:after="0" w:line="180"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light of the favorable say-on-pay vote at the 2024 Annual Meeting, the Compensation Committee took the following actions in fiscal 2025 with respect to the compensation of our Named Executive Officers:</w:t>
      </w:r>
    </w:p>
    <w:p>
      <w:pPr>
        <w:spacing w:after="0" w:line="162" w:lineRule="exact"/>
        <w:rPr>
          <w:sz w:val="20"/>
          <w:szCs w:val="20"/>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that cash bonuses were warranted for fiscal 2025.</w:t>
      </w:r>
    </w:p>
    <w:p>
      <w:pPr>
        <w:spacing w:after="0" w:line="36"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grant “full value” stock awards to Named Executive Officers in fiscal 2025.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Value at Fiscal 2025 Year-End Table</w:t>
      </w:r>
    </w:p>
    <w:p>
      <w:pPr>
        <w:spacing w:after="0" w:line="229"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all equity awards granted to our Named Executive Officers that were outstanding as of January 31, 2025.</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as of January 31, 2025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80" w:type="dxa"/>
            <w:vAlign w:val="bottom"/>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8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8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8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080" w:type="dxa"/>
            <w:vAlign w:val="bottom"/>
          </w:tcPr>
          <w:p>
            <w:pPr>
              <w:jc w:val="center"/>
              <w:ind w:right="411"/>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Option</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w:t>
            </w:r>
          </w:p>
        </w:tc>
      </w:tr>
      <w:tr>
        <w:trPr>
          <w:trHeight w:val="216"/>
        </w:trPr>
        <w:tc>
          <w:tcPr>
            <w:tcW w:w="3420" w:type="dxa"/>
            <w:vAlign w:val="bottom"/>
          </w:tcPr>
          <w:p>
            <w:pPr>
              <w:spacing w:after="0"/>
              <w:rPr>
                <w:sz w:val="18"/>
                <w:szCs w:val="18"/>
                <w:color w:val="auto"/>
              </w:rPr>
            </w:pPr>
          </w:p>
        </w:tc>
        <w:tc>
          <w:tcPr>
            <w:tcW w:w="17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Exercisable </w:t>
            </w:r>
            <w:r>
              <w:rPr>
                <w:rFonts w:ascii="Times New Roman" w:cs="Times New Roman" w:eastAsia="Times New Roman" w:hAnsi="Times New Roman"/>
                <w:sz w:val="25"/>
                <w:szCs w:val="25"/>
                <w:b w:val="1"/>
                <w:bCs w:val="1"/>
                <w:color w:val="auto"/>
                <w:vertAlign w:val="superscript"/>
              </w:rPr>
              <w:t>(1)</w:t>
            </w:r>
          </w:p>
        </w:tc>
        <w:tc>
          <w:tcPr>
            <w:tcW w:w="2080" w:type="dxa"/>
            <w:vAlign w:val="bottom"/>
          </w:tcPr>
          <w:p>
            <w:pPr>
              <w:jc w:val="center"/>
              <w:ind w:right="411"/>
              <w:spacing w:after="0" w:line="216" w:lineRule="exact"/>
              <w:rPr>
                <w:sz w:val="20"/>
                <w:szCs w:val="20"/>
                <w:color w:val="auto"/>
              </w:rPr>
            </w:pPr>
            <w:r>
              <w:rPr>
                <w:rFonts w:ascii="Times New Roman" w:cs="Times New Roman" w:eastAsia="Times New Roman" w:hAnsi="Times New Roman"/>
                <w:sz w:val="16"/>
                <w:szCs w:val="16"/>
                <w:b w:val="1"/>
                <w:bCs w:val="1"/>
                <w:color w:val="auto"/>
              </w:rPr>
              <w:t xml:space="preserve">Unexercisable </w:t>
            </w:r>
            <w:r>
              <w:rPr>
                <w:rFonts w:ascii="Times New Roman" w:cs="Times New Roman" w:eastAsia="Times New Roman" w:hAnsi="Times New Roman"/>
                <w:sz w:val="25"/>
                <w:szCs w:val="25"/>
                <w:b w:val="1"/>
                <w:bCs w:val="1"/>
                <w:color w:val="auto"/>
                <w:vertAlign w:val="superscript"/>
              </w:rPr>
              <w:t>(1)</w:t>
            </w:r>
          </w:p>
        </w:tc>
        <w:tc>
          <w:tcPr>
            <w:tcW w:w="15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Expiration</w:t>
            </w:r>
          </w:p>
        </w:tc>
      </w:tr>
      <w:tr>
        <w:trPr>
          <w:trHeight w:val="238"/>
        </w:trPr>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Borders>
              <w:bottom w:val="single" w:sz="8" w:color="auto"/>
            </w:tcBorders>
          </w:tcPr>
          <w:p>
            <w:pPr>
              <w:jc w:val="center"/>
              <w:ind w:right="391"/>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5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9"/>
        </w:trPr>
        <w:tc>
          <w:tcPr>
            <w:tcW w:w="3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6,667</w:t>
            </w:r>
          </w:p>
        </w:tc>
        <w:tc>
          <w:tcPr>
            <w:tcW w:w="2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3,333 (2)</w:t>
            </w: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7.90</w:t>
            </w: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8/03/2032</w:t>
            </w:r>
          </w:p>
        </w:tc>
      </w:tr>
      <w:tr>
        <w:trPr>
          <w:trHeight w:val="216"/>
        </w:trPr>
        <w:tc>
          <w:tcPr>
            <w:tcW w:w="3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35,000 (3)</w:t>
            </w: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3.99</w:t>
            </w: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9/24/2034</w:t>
            </w:r>
          </w:p>
        </w:tc>
      </w:tr>
      <w:tr>
        <w:trPr>
          <w:trHeight w:val="216"/>
        </w:trPr>
        <w:tc>
          <w:tcPr>
            <w:tcW w:w="34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30,000 (4)</w:t>
            </w:r>
          </w:p>
        </w:tc>
        <w:tc>
          <w:tcPr>
            <w:tcW w:w="15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7.47</w:t>
            </w:r>
          </w:p>
        </w:tc>
        <w:tc>
          <w:tcPr>
            <w:tcW w:w="130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1/20/2035</w:t>
            </w:r>
          </w:p>
        </w:tc>
      </w:tr>
      <w:tr>
        <w:trPr>
          <w:trHeight w:val="198"/>
        </w:trPr>
        <w:tc>
          <w:tcPr>
            <w:tcW w:w="3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A. Cox</w:t>
            </w:r>
          </w:p>
        </w:tc>
        <w:tc>
          <w:tcPr>
            <w:tcW w:w="1740" w:type="dxa"/>
            <w:vAlign w:val="bottom"/>
          </w:tcPr>
          <w:p>
            <w:pPr>
              <w:jc w:val="right"/>
              <w:ind w:right="51"/>
              <w:spacing w:after="0" w:line="198" w:lineRule="exact"/>
              <w:rPr>
                <w:sz w:val="20"/>
                <w:szCs w:val="20"/>
                <w:color w:val="auto"/>
              </w:rPr>
            </w:pPr>
            <w:r>
              <w:rPr>
                <w:rFonts w:ascii="Times New Roman" w:cs="Times New Roman" w:eastAsia="Times New Roman" w:hAnsi="Times New Roman"/>
                <w:sz w:val="18"/>
                <w:szCs w:val="18"/>
                <w:color w:val="auto"/>
              </w:rPr>
              <w:t>4,000</w:t>
            </w:r>
          </w:p>
        </w:tc>
        <w:tc>
          <w:tcPr>
            <w:tcW w:w="2080" w:type="dxa"/>
            <w:vAlign w:val="bottom"/>
          </w:tcPr>
          <w:p>
            <w:pPr>
              <w:jc w:val="right"/>
              <w:ind w:right="191"/>
              <w:spacing w:after="0" w:line="198" w:lineRule="exact"/>
              <w:rPr>
                <w:sz w:val="20"/>
                <w:szCs w:val="20"/>
                <w:color w:val="auto"/>
              </w:rPr>
            </w:pPr>
            <w:r>
              <w:rPr>
                <w:rFonts w:ascii="Times New Roman" w:cs="Times New Roman" w:eastAsia="Times New Roman" w:hAnsi="Times New Roman"/>
                <w:sz w:val="18"/>
                <w:szCs w:val="18"/>
                <w:color w:val="auto"/>
              </w:rPr>
              <w:t>2,000 (2)</w:t>
            </w:r>
          </w:p>
        </w:tc>
        <w:tc>
          <w:tcPr>
            <w:tcW w:w="156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7.90</w:t>
            </w:r>
          </w:p>
        </w:tc>
        <w:tc>
          <w:tcPr>
            <w:tcW w:w="1300" w:type="dxa"/>
            <w:vAlign w:val="bottom"/>
          </w:tcPr>
          <w:p>
            <w:pPr>
              <w:jc w:val="center"/>
              <w:ind w:right="10"/>
              <w:spacing w:after="0" w:line="198" w:lineRule="exact"/>
              <w:rPr>
                <w:sz w:val="20"/>
                <w:szCs w:val="20"/>
                <w:color w:val="auto"/>
              </w:rPr>
            </w:pPr>
            <w:r>
              <w:rPr>
                <w:rFonts w:ascii="Times New Roman" w:cs="Times New Roman" w:eastAsia="Times New Roman" w:hAnsi="Times New Roman"/>
                <w:sz w:val="18"/>
                <w:szCs w:val="18"/>
                <w:color w:val="auto"/>
                <w:w w:val="98"/>
              </w:rPr>
              <w:t>8/03/2032</w:t>
            </w:r>
          </w:p>
        </w:tc>
      </w:tr>
      <w:tr>
        <w:trPr>
          <w:trHeight w:val="216"/>
        </w:trPr>
        <w:tc>
          <w:tcPr>
            <w:tcW w:w="3420" w:type="dxa"/>
            <w:vAlign w:val="bottom"/>
          </w:tcPr>
          <w:p>
            <w:pPr>
              <w:spacing w:after="0"/>
              <w:rPr>
                <w:sz w:val="18"/>
                <w:szCs w:val="18"/>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25,000 (3)</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3.99</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9/24/2034</w:t>
            </w:r>
          </w:p>
        </w:tc>
      </w:tr>
      <w:tr>
        <w:trPr>
          <w:trHeight w:val="234"/>
        </w:trPr>
        <w:tc>
          <w:tcPr>
            <w:tcW w:w="3420" w:type="dxa"/>
            <w:vAlign w:val="bottom"/>
          </w:tcPr>
          <w:p>
            <w:pPr>
              <w:spacing w:after="0"/>
              <w:rPr>
                <w:sz w:val="20"/>
                <w:szCs w:val="20"/>
                <w:color w:val="auto"/>
              </w:rPr>
            </w:pPr>
          </w:p>
        </w:tc>
        <w:tc>
          <w:tcPr>
            <w:tcW w:w="1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rPr>
              <w:t>30,000 (4)</w:t>
            </w: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7.47</w:t>
            </w: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1/20/2035</w:t>
            </w:r>
          </w:p>
        </w:tc>
      </w:tr>
    </w:tbl>
    <w:p>
      <w:pPr>
        <w:spacing w:after="0" w:line="200" w:lineRule="exact"/>
        <w:rPr>
          <w:sz w:val="20"/>
          <w:szCs w:val="20"/>
          <w:color w:val="auto"/>
        </w:rPr>
      </w:pPr>
    </w:p>
    <w:p>
      <w:pPr>
        <w:spacing w:after="0" w:line="214" w:lineRule="exact"/>
        <w:rPr>
          <w:sz w:val="20"/>
          <w:szCs w:val="20"/>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underlying unexercised options, both exercisable and unexercisable, have been adjusted to reflect the voluntary surrender by our Named Executive Officers of options granted between fiscal 2016 and fiscal 2022.</w:t>
      </w:r>
    </w:p>
    <w:p>
      <w:pPr>
        <w:spacing w:after="0" w:line="161"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unexercisable stock options granted on August 3, 2022, will become exercisable on August 3, 2025, so long as the applicable executive remains employed through the respective vesting date.</w:t>
      </w:r>
    </w:p>
    <w:p>
      <w:pPr>
        <w:spacing w:after="0" w:line="161"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unexercisable stock options granted on September 24, 2024, will become exercisable on September 24, 2025, one-third will become exercisable on September 24, 2026, and one-third will become exercisable on September 24, 2027, so long as the applicable executive remains employed through the respective vesting date.</w:t>
      </w:r>
    </w:p>
    <w:p>
      <w:pPr>
        <w:spacing w:after="0" w:line="175"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unexercisable stock options granted on January 20, 2025, will become exercisable on January 20, 2026, one-third will become exercisable on January 20, 2027, and one-third will become exercisable on January 20, 2028, so long as the applicable executive remains employed through the respective vesting date.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 (“PEO”), and the average of the “total compensation” of our other Named Executive Officers as presented in the Summary Compensation Table for the applicable year, (ii) the “Compensation Actually Paid” to our PEO and the average “Compensation Actually Paid” to our other Named Executive Officers, as calculated pursuant to Item 402(v) of Regulation S-K under the Exchange Act, (iii) certain financial performance measures, and (iv) the relationship of the “compensation actually paid” of the PEO and, on average, our other Named Executive Officers, to those financial performance measures.</w:t>
      </w:r>
    </w:p>
    <w:p>
      <w:pPr>
        <w:spacing w:after="0" w:line="183"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of Regulation S-K and does not necessarily reflect value actually realized by the executives or how our Compensation Committee evaluates compensation decisions in light of company or individual performance.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6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30"/>
        </w:trPr>
        <w:tc>
          <w:tcPr>
            <w:tcW w:w="8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Initial</w:t>
            </w:r>
          </w:p>
        </w:tc>
        <w:tc>
          <w:tcPr>
            <w:tcW w:w="16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6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actually paid to</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investment based</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r>
      <w:tr>
        <w:trPr>
          <w:trHeight w:val="216"/>
        </w:trPr>
        <w:tc>
          <w:tcPr>
            <w:tcW w:w="880" w:type="dxa"/>
            <w:vAlign w:val="bottom"/>
          </w:tcPr>
          <w:p>
            <w:pPr>
              <w:spacing w:after="0"/>
              <w:rPr>
                <w:sz w:val="18"/>
                <w:szCs w:val="18"/>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for non-PEO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Named</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on Total</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16"/>
        </w:trPr>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6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actually paid to</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 Officers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Shareholder Return</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stockholders</w:t>
            </w:r>
          </w:p>
        </w:tc>
      </w:tr>
      <w:tr>
        <w:trPr>
          <w:trHeight w:val="238"/>
        </w:trPr>
        <w:tc>
          <w:tcPr>
            <w:tcW w:w="88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total for PEO (1)</w:t>
            </w: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PEO (2)(3)</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Officers (1)</w:t>
            </w: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0"/>
        </w:trPr>
        <w:tc>
          <w:tcPr>
            <w:tcW w:w="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2025</w:t>
            </w:r>
          </w:p>
        </w:tc>
        <w:tc>
          <w:tcPr>
            <w:tcW w:w="1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$678,293</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$933,926</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$541,511</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$739,500</w:t>
            </w:r>
          </w:p>
        </w:tc>
        <w:tc>
          <w:tcPr>
            <w:tcW w:w="1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$70.43</w:t>
            </w:r>
          </w:p>
        </w:tc>
        <w:tc>
          <w:tcPr>
            <w:tcW w:w="1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$17,603</w:t>
            </w:r>
          </w:p>
        </w:tc>
      </w:tr>
      <w:tr>
        <w:trPr>
          <w:trHeight w:val="216"/>
        </w:trPr>
        <w:tc>
          <w:tcPr>
            <w:tcW w:w="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$298,434</w:t>
            </w:r>
          </w:p>
        </w:tc>
        <w:tc>
          <w:tcPr>
            <w:tcW w:w="16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$289,664</w:t>
            </w: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$267,234</w:t>
            </w:r>
          </w:p>
        </w:tc>
        <w:tc>
          <w:tcPr>
            <w:tcW w:w="1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$262,033</w:t>
            </w:r>
          </w:p>
        </w:tc>
        <w:tc>
          <w:tcPr>
            <w:tcW w:w="1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$28.04</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w:t>
            </w:r>
          </w:p>
        </w:tc>
      </w:tr>
      <w:tr>
        <w:trPr>
          <w:trHeight w:val="216"/>
        </w:trPr>
        <w:tc>
          <w:tcPr>
            <w:tcW w:w="8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$347,201</w:t>
            </w:r>
          </w:p>
        </w:tc>
        <w:tc>
          <w:tcPr>
            <w:tcW w:w="16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$303,703</w:t>
            </w:r>
          </w:p>
        </w:tc>
        <w:tc>
          <w:tcPr>
            <w:tcW w:w="16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$301,047</w:t>
            </w:r>
          </w:p>
        </w:tc>
        <w:tc>
          <w:tcPr>
            <w:tcW w:w="16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$228,144</w:t>
            </w:r>
          </w:p>
        </w:tc>
        <w:tc>
          <w:tcPr>
            <w:tcW w:w="1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$30.84</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($12,620)</w:t>
            </w:r>
          </w:p>
        </w:tc>
      </w:tr>
    </w:tbl>
    <w:p>
      <w:pPr>
        <w:spacing w:after="0" w:line="198" w:lineRule="exact"/>
        <w:rPr>
          <w:sz w:val="20"/>
          <w:szCs w:val="20"/>
          <w:color w:val="auto"/>
        </w:rPr>
      </w:pPr>
    </w:p>
    <w:p>
      <w:pPr>
        <w:ind w:left="660" w:right="80" w:hanging="328"/>
        <w:spacing w:after="0" w:line="312" w:lineRule="auto"/>
        <w:tabs>
          <w:tab w:leader="none" w:pos="66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principal executive officer (“PEO”) for fiscal 2025, 2024 and 2023 was Robert P. Capps. The non-PEO Named Executive Officer for fiscal 2025 and 2024 was Mark A. Cox. The non-PEO Named Executive Officers for fiscal 2023 were Mark A. Cox and Dennis P. Morris</w:t>
      </w:r>
      <w:r>
        <w:rPr>
          <w:rFonts w:ascii="Times New Roman" w:cs="Times New Roman" w:eastAsia="Times New Roman" w:hAnsi="Times New Roman"/>
          <w:sz w:val="17"/>
          <w:szCs w:val="17"/>
          <w:u w:val="single" w:color="auto"/>
          <w:color w:val="auto"/>
        </w:rPr>
        <w:t>.</w:t>
      </w:r>
    </w:p>
    <w:p>
      <w:pPr>
        <w:spacing w:after="0" w:line="139" w:lineRule="exact"/>
        <w:rPr>
          <w:rFonts w:ascii="Times New Roman" w:cs="Times New Roman" w:eastAsia="Times New Roman" w:hAnsi="Times New Roman"/>
          <w:sz w:val="17"/>
          <w:szCs w:val="17"/>
          <w:color w:val="auto"/>
        </w:rPr>
      </w:pPr>
    </w:p>
    <w:p>
      <w:pPr>
        <w:ind w:left="660" w:right="2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as Compensation Actually Paid have been calculated in accordance with Item 402(v) of Regulation S-K and do not reflect compensation actually `realized or received by the Company’s Named Executive Officers. These amounts reflect total compensation as set forth in the Summary Compensation Table for each year, adjusted as described in footnote 3 below and averaged for the non-PEO Named Executive Officers.</w:t>
      </w:r>
    </w:p>
    <w:p>
      <w:pPr>
        <w:spacing w:after="0" w:line="179" w:lineRule="exact"/>
        <w:rPr>
          <w:rFonts w:ascii="Times New Roman" w:cs="Times New Roman" w:eastAsia="Times New Roman" w:hAnsi="Times New Roman"/>
          <w:sz w:val="18"/>
          <w:szCs w:val="18"/>
          <w:color w:val="auto"/>
        </w:rPr>
      </w:pPr>
    </w:p>
    <w:p>
      <w:pPr>
        <w:ind w:left="660" w:right="40" w:hanging="328"/>
        <w:spacing w:after="0" w:line="253"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for the PEO and, on average, the non-PEO Named Executive Officers set forth below. Amounts excluded, which are set forth in the “Minus Stock Awards from Summary Compensation Table” columns below, represent the Stock Awards reported in the “Stock Awards” column of the Summary Compensation Table for each applicable year. Amounts added back to determine Compensation Actually Paid are made up of the following components which are set forth in the table below, as applicable: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The fair value at the end of the prior year of awards granted in any prior year that failed to meet applicable vesting conditions during the covered year are subtracted. The dollar value of any dividends or other earnings paid on stock awards in a covered fiscal year prior to the vesting date that are not otherwise included in the total compensation for the covered fiscal year are added. Equity values are calculated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Plus change in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Plus year-end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value of</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Minus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value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change in</w:t>
            </w:r>
          </w:p>
        </w:tc>
        <w:tc>
          <w:tcPr>
            <w:tcW w:w="14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from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value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 prior</w:t>
            </w:r>
          </w:p>
        </w:tc>
        <w:tc>
          <w:tcPr>
            <w:tcW w:w="14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granted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awards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vested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during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actually paid to</w:t>
            </w:r>
          </w:p>
        </w:tc>
      </w:tr>
      <w:tr>
        <w:trPr>
          <w:trHeight w:val="238"/>
        </w:trPr>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PEO</w:t>
            </w:r>
          </w:p>
        </w:tc>
      </w:tr>
      <w:tr>
        <w:trPr>
          <w:trHeight w:val="210"/>
        </w:trPr>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$678,293</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$260,900</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$501,350</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$9,202</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$5,981</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$933,926</w:t>
            </w:r>
          </w:p>
        </w:tc>
      </w:tr>
      <w:tr>
        <w:trPr>
          <w:trHeight w:val="216"/>
        </w:trPr>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$298,434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($3,193)</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$289,664</w:t>
            </w:r>
          </w:p>
        </w:tc>
      </w:tr>
      <w:tr>
        <w:trPr>
          <w:trHeight w:val="216"/>
        </w:trPr>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$347,201</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$48,767</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$38,933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($21,375)</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($12,289)</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$303,703</w:t>
            </w:r>
          </w:p>
        </w:tc>
      </w:tr>
      <w:tr>
        <w:trPr>
          <w:trHeight w:val="869"/>
        </w:trPr>
        <w:tc>
          <w:tcPr>
            <w:tcW w:w="9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Plus change in</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Plus year-end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the value of</w:t>
            </w:r>
          </w:p>
        </w:tc>
        <w:tc>
          <w:tcPr>
            <w:tcW w:w="1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table total for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Minus stock</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 value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4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change in</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actually paid to</w:t>
            </w: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non-PEO</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from</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value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 prior</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non-PEO</w:t>
            </w: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granted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awards</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w:t>
            </w:r>
          </w:p>
        </w:tc>
      </w:tr>
      <w:tr>
        <w:trPr>
          <w:trHeight w:val="216"/>
        </w:trPr>
        <w:tc>
          <w:tcPr>
            <w:tcW w:w="96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granted during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prior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vested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vested during</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238"/>
        </w:trPr>
        <w:tc>
          <w:tcPr>
            <w:tcW w:w="96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officers</w:t>
            </w:r>
          </w:p>
        </w:tc>
      </w:tr>
      <w:tr>
        <w:trPr>
          <w:trHeight w:val="210"/>
        </w:trPr>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$541,511</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$232,660</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$421,450</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$5,520</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$3,679</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$739,500</w:t>
            </w:r>
          </w:p>
        </w:tc>
      </w:tr>
      <w:tr>
        <w:trPr>
          <w:trHeight w:val="216"/>
        </w:trPr>
        <w:tc>
          <w:tcPr>
            <w:tcW w:w="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16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$267,234</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14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($1,887)</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$262,033</w:t>
            </w:r>
          </w:p>
        </w:tc>
      </w:tr>
      <w:tr>
        <w:trPr>
          <w:trHeight w:val="216"/>
        </w:trPr>
        <w:tc>
          <w:tcPr>
            <w:tcW w:w="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2023</w:t>
            </w:r>
          </w:p>
        </w:tc>
        <w:tc>
          <w:tcPr>
            <w:tcW w:w="16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$301,047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$29,260</w:t>
            </w:r>
          </w:p>
        </w:tc>
        <w:tc>
          <w:tcPr>
            <w:tcW w:w="14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$23,360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($12,215)</w:t>
            </w:r>
          </w:p>
        </w:tc>
        <w:tc>
          <w:tcPr>
            <w:tcW w:w="1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1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($54,788)</w:t>
            </w:r>
          </w:p>
        </w:tc>
        <w:tc>
          <w:tcPr>
            <w:tcW w:w="14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$228,144</w:t>
            </w:r>
          </w:p>
        </w:tc>
      </w:tr>
    </w:tbl>
    <w:p>
      <w:pPr>
        <w:spacing w:after="0" w:line="198" w:lineRule="exact"/>
        <w:rPr>
          <w:sz w:val="20"/>
          <w:szCs w:val="20"/>
          <w:color w:val="auto"/>
        </w:rPr>
      </w:pPr>
    </w:p>
    <w:p>
      <w:pPr>
        <w:ind w:left="660" w:right="1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illustrates the value, as of the last day of the indicated fiscal year, of an investment of $100 in Company common stock on January 31, 2022.</w:t>
      </w:r>
    </w:p>
    <w:p>
      <w:pPr>
        <w:sectPr>
          <w:pgSz w:w="11900" w:h="16838" w:orient="portrait"/>
          <w:cols w:equalWidth="0" w:num="1">
            <w:col w:w="11240"/>
          </w:cols>
          <w:pgMar w:left="320" w:top="108"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Each year, the Compensation Committee reviews the total compensation paid to our non-employee directors and the Non-Executive Chairman of our Board. The purpose of the review is to ensure that the level of compensation is appropriate to attract and retain a diverse group of directors with the breadth of experience necessary to perform our Board’s duties and to fairly compensate directors for their service. The review includes the consideration of qualitative and comparative factors. To ensure directors are compensated relative to the scope of their responsibilities, the Compensation Committee considers: (1) the time and effort involved in preparing for Board, committee and management meetings and the additional duties assumed by committee chairs; (2) the level of continuing education required to remain informed of broad corporate governance trends and material developments and strategic initiatives within the Company; and (3) the risks associated with fulfilling their fiduciary duties.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our non-employee directors during fiscal 2025. Mr. Capps, who is a full-time employee, received no compensation for serving as a director.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 Compensation for the Fiscal Year Ended January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w:t>
            </w:r>
          </w:p>
        </w:tc>
        <w:tc>
          <w:tcPr>
            <w:tcW w:w="24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20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72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66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5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 Non-Executive Chairman</w:t>
            </w:r>
          </w:p>
        </w:tc>
        <w:tc>
          <w:tcPr>
            <w:tcW w:w="16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103,500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156,048</w:t>
            </w:r>
          </w:p>
        </w:tc>
        <w:tc>
          <w:tcPr>
            <w:tcW w:w="1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259,548</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6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52,650</w:t>
            </w:r>
          </w:p>
        </w:tc>
        <w:tc>
          <w:tcPr>
            <w:tcW w:w="24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156,048</w:t>
            </w:r>
          </w:p>
        </w:tc>
        <w:tc>
          <w:tcPr>
            <w:tcW w:w="1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208,698</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6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63,900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156,048</w:t>
            </w:r>
          </w:p>
        </w:tc>
        <w:tc>
          <w:tcPr>
            <w:tcW w:w="16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219,948</w:t>
            </w:r>
          </w:p>
        </w:tc>
        <w:tc>
          <w:tcPr>
            <w:tcW w:w="100" w:type="dxa"/>
            <w:vAlign w:val="bottom"/>
            <w:shd w:val="clear" w:color="auto" w:fill="CCEEFF"/>
          </w:tcPr>
          <w:p>
            <w:pPr>
              <w:spacing w:after="0"/>
              <w:rPr>
                <w:sz w:val="18"/>
                <w:szCs w:val="18"/>
                <w:color w:val="auto"/>
              </w:rPr>
            </w:pP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6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56,250</w:t>
            </w:r>
          </w:p>
        </w:tc>
        <w:tc>
          <w:tcPr>
            <w:tcW w:w="240" w:type="dxa"/>
            <w:vAlign w:val="bottom"/>
          </w:tcPr>
          <w:p>
            <w:pPr>
              <w:spacing w:after="0"/>
              <w:rPr>
                <w:sz w:val="20"/>
                <w:szCs w:val="20"/>
                <w:color w:val="auto"/>
              </w:rPr>
            </w:pPr>
          </w:p>
        </w:tc>
        <w:tc>
          <w:tcPr>
            <w:tcW w:w="1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156,048</w:t>
            </w:r>
          </w:p>
        </w:tc>
        <w:tc>
          <w:tcPr>
            <w:tcW w:w="16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212.298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12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81" w:lineRule="exact"/>
        <w:rPr>
          <w:sz w:val="20"/>
          <w:szCs w:val="20"/>
          <w:color w:val="auto"/>
        </w:rPr>
      </w:pPr>
    </w:p>
    <w:p>
      <w:pPr>
        <w:ind w:left="660" w:hanging="328"/>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stock awards granted to our non-employee directors computed in accordance with FASB ASC Topic 718 and determined without regard to estimated forfeitures. These amounts reflect our accounting valuation of these awards. The assumptions used in the calculation of these amounts are discussed in Note 16 to our audited financial statements included in our Annual Report on Form 10-K for the fiscal year ended January 31, 2025. The were no stock awards granted in fiscal 2024.</w:t>
      </w:r>
    </w:p>
    <w:p>
      <w:pPr>
        <w:spacing w:after="0" w:line="179" w:lineRule="exact"/>
        <w:rPr>
          <w:rFonts w:ascii="Times New Roman" w:cs="Times New Roman" w:eastAsia="Times New Roman" w:hAnsi="Times New Roman"/>
          <w:sz w:val="18"/>
          <w:szCs w:val="18"/>
          <w:color w:val="auto"/>
        </w:rPr>
      </w:pPr>
    </w:p>
    <w:p>
      <w:pPr>
        <w:ind w:left="660" w:right="60" w:hanging="328"/>
        <w:spacing w:after="0" w:line="255"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option awards to our non-employee directors computed in accordance with FASB ASC Topic 718 and determined without regard to estimated forfeitures. These amounts reflect our accounting valuation of these awards, and do not correspond to the actual value that may be recognized by our non-employee directors. The assumptions used in the calculation of these amounts are discussed in Note 16 to our audited financial statements included in our Annual Report on Form 10-K for the fiscal year ended January 31, 2025. A total of 68,000 options awards were granted on September 24, 2024, to Messrs. Blum, Baden, Glanville and Hilarides. A total of 80,000 option awards were granted on January 20, 2025, to Messrs. Blum, Baden, Glanville and Hilarides. As of January 31, 2025, Messrs. Blum, Glanville, Hilarides, and Baden held a total of 44,000, 45,500, 41,500 and 41,500 unexercised stock options,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Retainer and Fees</w:t>
      </w:r>
    </w:p>
    <w:p>
      <w:pPr>
        <w:spacing w:after="0" w:line="229"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Pursuant to our summary of non-employee director compensation, adopted as of April 30, 2022 (the “Director Compensation Summary”), as modified August 30, 2024, each non-employee director is eligible to receive an annual retainer of $25,600 from February through July 2024, and $32,000 from August 2024 through January 2025, plus the following supplemental cash retainers,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Feb 2024 </w:t>
            </w: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7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Aug 2024 </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Annual retainers:</w:t>
            </w:r>
          </w:p>
        </w:tc>
        <w:tc>
          <w:tcPr>
            <w:tcW w:w="330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 2024</w:t>
            </w:r>
          </w:p>
        </w:tc>
        <w:tc>
          <w:tcPr>
            <w:tcW w:w="220" w:type="dxa"/>
            <w:vAlign w:val="bottom"/>
          </w:tcPr>
          <w:p>
            <w:pPr>
              <w:spacing w:after="0"/>
              <w:rPr>
                <w:sz w:val="20"/>
                <w:szCs w:val="20"/>
                <w:color w:val="auto"/>
              </w:rPr>
            </w:pPr>
          </w:p>
        </w:tc>
        <w:tc>
          <w:tcPr>
            <w:tcW w:w="17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Jan 2025</w:t>
            </w:r>
          </w:p>
        </w:tc>
        <w:tc>
          <w:tcPr>
            <w:tcW w:w="0" w:type="dxa"/>
            <w:vAlign w:val="bottom"/>
          </w:tcPr>
          <w:p>
            <w:pPr>
              <w:spacing w:after="0"/>
              <w:rPr>
                <w:sz w:val="1"/>
                <w:szCs w:val="1"/>
                <w:color w:val="auto"/>
              </w:rPr>
            </w:pPr>
          </w:p>
        </w:tc>
      </w:tr>
      <w:tr>
        <w:trPr>
          <w:trHeight w:val="210"/>
        </w:trPr>
        <w:tc>
          <w:tcPr>
            <w:tcW w:w="4260" w:type="dxa"/>
            <w:vAlign w:val="bottom"/>
            <w:vMerge w:val="continue"/>
          </w:tcPr>
          <w:p>
            <w:pPr>
              <w:spacing w:after="0"/>
              <w:rPr>
                <w:sz w:val="18"/>
                <w:szCs w:val="18"/>
                <w:color w:val="auto"/>
              </w:rPr>
            </w:pPr>
          </w:p>
        </w:tc>
        <w:tc>
          <w:tcPr>
            <w:tcW w:w="3300" w:type="dxa"/>
            <w:vAlign w:val="bottom"/>
          </w:tcPr>
          <w:p>
            <w:pPr>
              <w:spacing w:after="0"/>
              <w:rPr>
                <w:sz w:val="18"/>
                <w:szCs w:val="18"/>
                <w:color w:val="auto"/>
              </w:rPr>
            </w:pPr>
          </w:p>
        </w:tc>
        <w:tc>
          <w:tcPr>
            <w:tcW w:w="168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68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Non-executive chairman</w:t>
            </w:r>
          </w:p>
        </w:tc>
        <w:tc>
          <w:tcPr>
            <w:tcW w:w="4980" w:type="dxa"/>
            <w:vAlign w:val="bottom"/>
            <w:gridSpan w:val="2"/>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6"/>
              </w:rPr>
              <w:t>40,000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of Audit Committee</w:t>
            </w:r>
          </w:p>
        </w:tc>
        <w:tc>
          <w:tcPr>
            <w:tcW w:w="498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color w:val="auto"/>
                <w:w w:val="98"/>
              </w:rPr>
              <w:t>6,000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Audit Committee</w:t>
            </w:r>
          </w:p>
        </w:tc>
        <w:tc>
          <w:tcPr>
            <w:tcW w:w="4980" w:type="dxa"/>
            <w:vAlign w:val="bottom"/>
            <w:gridSpan w:val="2"/>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8"/>
              </w:rPr>
              <w:t>6,800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of Compensation Committee</w:t>
            </w:r>
          </w:p>
        </w:tc>
        <w:tc>
          <w:tcPr>
            <w:tcW w:w="498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color w:val="auto"/>
                <w:w w:val="98"/>
              </w:rPr>
              <w:t>4,000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Compensation Committee</w:t>
            </w:r>
          </w:p>
        </w:tc>
        <w:tc>
          <w:tcPr>
            <w:tcW w:w="4980" w:type="dxa"/>
            <w:vAlign w:val="bottom"/>
            <w:gridSpan w:val="2"/>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8"/>
              </w:rPr>
              <w:t>4,800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Member of Nominating Committee</w:t>
            </w:r>
          </w:p>
        </w:tc>
        <w:tc>
          <w:tcPr>
            <w:tcW w:w="498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color w:val="auto"/>
                <w:w w:val="98"/>
              </w:rPr>
              <w:t>3,200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Chairman of Nominating Committee</w:t>
            </w:r>
          </w:p>
        </w:tc>
        <w:tc>
          <w:tcPr>
            <w:tcW w:w="4980" w:type="dxa"/>
            <w:vAlign w:val="bottom"/>
            <w:gridSpan w:val="2"/>
            <w:shd w:val="clear" w:color="auto" w:fill="CCEEFF"/>
          </w:tcPr>
          <w:p>
            <w:pPr>
              <w:jc w:val="center"/>
              <w:ind w:left="3330"/>
              <w:spacing w:after="0"/>
              <w:rPr>
                <w:sz w:val="20"/>
                <w:szCs w:val="20"/>
                <w:color w:val="auto"/>
              </w:rPr>
            </w:pPr>
            <w:r>
              <w:rPr>
                <w:rFonts w:ascii="Times New Roman" w:cs="Times New Roman" w:eastAsia="Times New Roman" w:hAnsi="Times New Roman"/>
                <w:sz w:val="18"/>
                <w:szCs w:val="18"/>
                <w:color w:val="auto"/>
                <w:w w:val="98"/>
              </w:rPr>
              <w:t>3,200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Board meeting attended</w:t>
            </w:r>
          </w:p>
        </w:tc>
        <w:tc>
          <w:tcPr>
            <w:tcW w:w="4980" w:type="dxa"/>
            <w:vAlign w:val="bottom"/>
            <w:gridSpan w:val="2"/>
          </w:tcPr>
          <w:p>
            <w:pPr>
              <w:jc w:val="center"/>
              <w:ind w:left="3330"/>
              <w:spacing w:after="0"/>
              <w:rPr>
                <w:sz w:val="20"/>
                <w:szCs w:val="20"/>
                <w:color w:val="auto"/>
              </w:rPr>
            </w:pPr>
            <w:r>
              <w:rPr>
                <w:rFonts w:ascii="Times New Roman" w:cs="Times New Roman" w:eastAsia="Times New Roman" w:hAnsi="Times New Roman"/>
                <w:sz w:val="18"/>
                <w:szCs w:val="18"/>
                <w:color w:val="auto"/>
                <w:w w:val="98"/>
              </w:rPr>
              <w:t>2,800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60" w:type="dxa"/>
            <w:vAlign w:val="bottom"/>
          </w:tcPr>
          <w:p>
            <w:pPr>
              <w:spacing w:after="0"/>
              <w:rPr>
                <w:sz w:val="24"/>
                <w:szCs w:val="24"/>
                <w:color w:val="auto"/>
              </w:rPr>
            </w:pPr>
          </w:p>
        </w:tc>
        <w:tc>
          <w:tcPr>
            <w:tcW w:w="3300" w:type="dxa"/>
            <w:vAlign w:val="bottom"/>
          </w:tcPr>
          <w:p>
            <w:pPr>
              <w:jc w:val="right"/>
              <w:ind w:right="175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cash compensation, our non-employee directors are eligible, pursuant to the Director Compensation Summary and at the discretion of our full Board, to receive discretionary grants of stock options or restricted stock or any combination thereof under our equity compensation plans. For the fiscal year ended January 31, 2025, the Board granted our non-employee directors stock options awards under our Stock Awards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election of each director. Brokers do not have discretion to vote on this proposal without your instruction. If you do not instruct your broker how to vote on this proposal, your broker will deliver a broker non-vote on this proposal. Broker non-votes will not have any effect on the outcome of this proposal.</w:t>
      </w:r>
    </w:p>
    <w:p>
      <w:pPr>
        <w:spacing w:after="0" w:line="1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Our Board recommends a vote "FOR" the election of each director.</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APPROVAL OF THE FIFTH AMENDMENT TO THE PLAN</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At the Annual Meeting, our stockholders will be asked to approve the Fifth Amendment to the Plan, to be effective July 17, 2025, if approved (the“Effective Date”). The purpose of the Fifth Amendment is to authorize an additional 400,000 shares of common stock to be utilized for awards pursuant to the Plan (the“Additional Shares”). We believe approval of this proposal is advisable in order to ensure we have an adequate number of shares available in connection with our compensation programs. If our stockholders approve this proposal, we intend to file, pursuant to the Securities Act of 1933, a registration statement on Form S-8 to register the Additional Shares for issuance pursuant to the terms of the Plan.</w:t>
      </w:r>
    </w:p>
    <w:p>
      <w:pPr>
        <w:spacing w:after="0" w:line="18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Plan was first adopted by the Board and approved by our stockholders to be effective May 30, 2006. The Plan was subsequently amended and restated on July 23, 2009. The Plan, as amended and restated, was further amended on July 28, 2011. The Plan was then amended and restated effective as of May 19, 2013 and was subsequently amended on July 20, 2016, July 23, 2019, July 15, 2021, and December 15, 2024.</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use of stock-based awards under the Plan continues to be a key element of our compensation program. The Plan currently authorizes a total of 699,987 shares for issuance in connection with awards under the Plan, but as of May 19, 2025, only 77,123 shares remain available. The closing market price of our common stock as of May 19, 2025 was $6.50 per share, as reported on NASDAQ. The Board has determined that there are not sufficient shares available for issuance under the Plan to meet our needs for future grants during the coming years, and an increase in available shares is appropriate to continue to assist us in attracting and retaining capable, talented individuals to serve in the capacity of employees, consultants, and non-employee directors and maintaining a competitive edge in today’s volatile business environment. The increase of 400,000 shares was determined subjectively by the Board based on the number of shares currently available, the number of shares expected to become available in the next twelve months due to option expirations, and the number of awards we estimate will be granted over the coming years. The Board feels it is important to have adequate shares available to appropriately compensate current and future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Failing to Approve the Proposal</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Fifth Amendment will not be implemented unless it is approved by our stockholders. If the Fifth Amendment is not approved by our stockholders, the Plan will remain in effect in its present form. Failure of our stockholders to approve this proposal also will not affect the rights of existing award holders under the Plan or under any previously granted awards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Plan</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The following summary of the Plan, as amended by the Fifth Amendment (referred to as the “Amended Plan”), does not purport to be a complete description of all provisions of the Amended Plan and should be read in conjunction with, and is qualified in its entirety by reference to, the complete text of (1) the current Plan document, which was filed as Appendix A to our definitive proxy statement on Schedule 14A filed on May 31, 2013, (2) the First Amendment to the Plan, which was filed as Appendix A to our definitive proxy statement on Schedule 14A filed on May 16, 2016, (3) the Second Amendment to the Plan, which was filed as Appendix A to our definitive proxy statement on Schedule 14A filed on May 31, 2019, (4) the Third Amendment to the Plan, which was filed as Appendix A to our definitive proxy statement on Schedule 14A filed on May 28, 2021,(5) the Fourth Amendment to the Plan which was filed as Appendix A to our definitive proxy statement on Schedule 14A filed on October 25, 2024 and (6) the Fifth Amendment which is attached to this proxy statement as Appendix A. The Amended Plan gives the Compensation Committee the ability to award stock options, restricted stock, performance awards, phantom awards, stock appreciation rights, stock awards, and other stock-based awards. Unless earlier terminated by action of our Board, the Amended Plan will terminate on May 15, 2031. Awards granted before the termination date of the Amended Plan will continue to be effective in accordance with their terms and conditions.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Persons Who May Participate</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Awards may be made under the Amended Plan to our employees, consultants, the employees and consultants of our subsidiaries, and our non-employee directors. Only individuals who are our employees or who are employees of one of our corporate subsidiaries are eligible to receive incentive stock options. The Compensation Committee determines in its discretion which eligible persons will receive awards under the Amended Plan. As of May 19, 2025, approximately 24 of our employees, no consultants, 122 employees of our subsidiaries, no consultants of our subsidiaries, and our five non-employee directors were eligible to participate in the Plan.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the Amended Plan</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total aggregate number of shares of our common stock available for grant of awards under the Amended Plan will not exceed 1,099,986 shares (the “Share Pool”). Of the Share Pool, the number of Additional Shares requested pursuant to the Fifth Amendment is 400,000. The maximum number of shares of common stock available for grant of awards under the Amended Plan is subject to adjustment for recapitalizations, stock splits, stock dividends and other corporate events. See “Awards under the Amended Plan—Corporate Events” below.</w:t>
      </w:r>
    </w:p>
    <w:p>
      <w:pPr>
        <w:spacing w:after="0" w:line="18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following awards and payouts will reduce, on a one share for one share basis, the number of shares authorized for issuance under the Share Pool: (1) any awards granted prior to May 15, 2013 and (2) any awards of options and stock appreciation rights granted on or after May 15, 2013. Any awards of restricted stock, performance awards, phantom stock, stock awards, and other stock-based awards granted on or after May 15, 2013 reduce the number of shares authorized for issuance under the Share Pool on a 1.60 share for one share basis.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If an award granted under the Amended Plan expires, is forfeited or becomes unexercisable for any reason, the undelivered shares of common stock that were subject to the award will be restored and available for future awards under the Amended Plan; provided that the restoration will, as applicable, be on a one share for one share basis to the extent that such award reduced the Share Pool on a one share for one share basis or be on a 1.60 share for one share basis to the extent that such award reduced the Share Pool on a 1.60 share for one share basis. The number of shares available for grant of awards under the Amended Plan will not be increased by: (1) the number of shares of common stock not issued or delivered as a result of net settlement of an outstanding stock option or stock appreciation right; (2) the number of shares delivered or withheld to pay the exercise price of any award or tax withholding obligations; or (3) the number of shares repurchased on the open market with the proceeds of option exercise prices. However, with respect to awards outstanding prior to May 15, 2013, shares tendered or withheld to satisfy any tax withholding or exercise price obligations with respect to such awards will be available for issuance under future awards, subject to the overall share reservation limitation. Our common stock issued or to be issued under the Amended Plan consists of authorized but unissued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Maximum Amount of Compensation May be Paid to a Participant</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maximum number of shares of common stock that may be subject to incentive stock options granted under the Amended Plan is 1,099,986 shares. The maximum number of shares of common stock that may be subject to all awards granted to any one participant in each fiscal year is 100,000 shares. The maximum amount of dollar-denominated awards that may be granted to any one participant in each fiscal year is $2,000,000, as valued on the date of grant.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Amended Plan provides for administration by the Compensation Committee of the Board, which is intended to be comprised solely of two or more non-employee directors (within the meaning of Rule 16b-3) who also qualify as “outside directors” (within the meaning of Section 162 (m) of the Internal Revenue Code of 1986, as amended (the “Code”)). The Board retains the discretion to designate another committee to administer the Amended Plan. The Compensation Committee has the full authority, subject to the terms of the Amended Plan, to establish rules and regulations for the proper administration of the Amended Plan, to select the employees and consultants to whom awards are granted, and to determine the type and terms of awards. However, the Board alone has the authority to administer the Amended Plan with respect to awards to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Amended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Amended Plan permits the granting of options to purchase shares of common stock intended to qualify as incentive stock options under the Code and stock options that do not qualify as incentive stock options (i.e., nonqualified stock options). The exercise price of each stock option may not be less than 100% of the fair market value of the common stock on the date of grant. In the case of certain 10% stockholders who receive incentive stock options, the exercise price may not be less than 110% of the fair market value of the common stock on the date of grant.</w:t>
      </w:r>
    </w:p>
    <w:p>
      <w:pPr>
        <w:spacing w:after="0" w:line="18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restricted stock award is an award of shares that is subject to one or more restrictions, including, without limitation, a restriction that constitutes a “substantial risk of forfeiture” within the meaning of Section 83 of the Code and prohibitions regarding the transferability of the shares, for a period to be determined by the Compensation Committee. The Compensation Committee has the discretion to determine the terms of any restricted stock award including the number of shares subject to the award, the price (if any) paid for shares subject to the award and the minimum period over which a restricted stock award may be vested. Participants holding shares subject to restricted stock awards may receive dividends.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Amended Plan provides for the grant of performance awards, ultimately payable in common stock or cash (or a combination thereof), as determined by the Compensation Committee. Performance awards are conditioned upon the level of achievement of one or more stated performance goals over a specified performance period that is not shorter than one year. The applicable award agreement will specify the amount, or the formula for determining the amount, that may be earned under the performance award, the performance criteria and level of achievement versus the performance criteria that will determine the amount payable under the performance award, the performance period over which performance is measured, and such other terms and conditions as the Compensation Committee may determine. In the discretion of the Compensation Committee, dividends or DERs may be awarded in connection with a performance award. If awarded, dividends and distribution equivalent rights ("DERs") may accrue in a cash bookkeeping account (with or without) interest during the applicable performance period, but neither dividends nor DERs may be paid to the participant on such performance award until the applicable performance goals have been determined to be achieved by the Compensation Committee.</w:t>
      </w:r>
    </w:p>
    <w:p>
      <w:pPr>
        <w:spacing w:after="0" w:line="188"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7"/>
          <w:szCs w:val="17"/>
          <w:color w:val="auto"/>
        </w:rPr>
        <w:t>Performance goals set by the Compensation Committee may relate to one or more of the following objective performance criteria (“Performance Criteria”) that the Compensation Committee determines is appropriate: (1) net earnings (either before or after interest, taxes, depreciation and/or amortization), (2) sales, (3) revenue, (4) net income (either before or after taxes), (5) operating earnings, (6) cash flow (including, but not limited to, operating cash flow and free cash flow), (7) cash flow return on capital, (8) return on net assets, (9) return on stockholders’ equity, (10) return on assets,</w:t>
      </w:r>
    </w:p>
    <w:p>
      <w:pPr>
        <w:spacing w:after="0" w:line="3" w:lineRule="exact"/>
        <w:rPr>
          <w:sz w:val="20"/>
          <w:szCs w:val="20"/>
          <w:color w:val="auto"/>
        </w:rPr>
      </w:pPr>
    </w:p>
    <w:p>
      <w:pPr>
        <w:ind w:firstLine="8"/>
        <w:spacing w:after="0" w:line="251" w:lineRule="auto"/>
        <w:tabs>
          <w:tab w:leader="none" w:pos="33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(12) stockholder returns, (13) return on sales, (14) gross or net profit margin, (15) expense margins, (16) cost reductions, (17) controls or savings, (18) operating efficiency, (19) working capital, (20) strategic initiatives, (21) economic value added, (22) earnings per share, (23) earnings per share from operations, (24) price per share of stock, and (25) market share. Performance goals may be based on attainment of such target levels of one or more of the Performance Criteria, over one or more periods of time, which may be of varying and overlapping durations, as determined by the Compensation Committee. Performance Criteria will be subject to adjustment for changes in accounting standards required by the Financial Accounting Standards Board after the goal is established, and, to the extent provided for in the award agreement, will be subject to adjustment for specified significant extraordinary items or events. Performance Criteria may be absolute, relative to one or more other companies, or relative to one or more indexes, and may be contingent upon future performance of our company or any subsidiary, division, unit or product line thereof. Which Performance Criteria to be used with respect to any grant, and the weight to be accorded thereto if more than one factor is used, will be determined by the Compensation Committee, in its sole discretion, at the time of grant.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Phantom Stock</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Phantom stock awards are awards of rights to receive amounts equal to a specified number of shares. Such awards may be subject to the fulfillment of conditions, which may be linked to Performance Criteria or other specified criteria, including the passage of time as the Compensation Committee may specify. Payment of phantom stock awards may be made in cash, shares or any combination thereof, as determined by the Compensation Committee in its discretion, and will be paid following the close of the vesting period. Any payment to be made in cash will be based on the fair market value of a share on the payment date. A phantom stock award may include DERs in the discretion of the Compensation Committee. DERs are rights to receive an amount of cash equal to the value of any dividends made on shares during the period the phantom stock award is outstanding. Payment of DERs may be made subject to the same vesting terms as the tandem phantom stock award or may have different vesting and payment terms, in the discretion of the Compensation Committee.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stock appreciation right provides the right to receive a number of shares or, in the discretion of the Compensation Committee, an amount in cash or a combination of shares and cash, based on the increase in the fair market value of the shares underlying the rights during a specified period of time. The exercise price of a stock appreciation right may not be less than 100% of the fair market value of the common stock on the date of grant. The Compensation Committee may grant stock appreciation rights subject to such terms and conditions and exercisable at such times as determined by the Compensation Committee and specified in the applicable award agreement. The term of a stock appreciation right will not exceed 10 years. Stock appreciation rights may not be re-priced without stockholder approval. Stock appreciation rights are not eligible to receive dividends or 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Stock awards are unrestricted shares issued to a participant and may be paid as part of, or in lieu of all or any portion of, any bonus, deferred compensation or other compensation of the participant.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Awards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Other stock-based awards are awards that the value of which is based in whole or in part on a share. The Compensation Committee may set such vesting and/or performance criteria as it chooses with respect to such award. Upon vesting, the award may be paid in shares, cash or any combination thereof, as decided by the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 participant must satisfy any applicable federal, state, local or foreign tax withholding obligations that arise due to an award made under the Amended Plan, and the Compensation Committee will not be required to issue any shares or make any payment until the participant satisfies those obligations in a manner satisfactory to us. The Compensation Committee may permit tax withholding obligations to be satisfied by having our company withhold a portion of the shares that would otherwise be issued to the participant under an award or by allowing the participant to surrender previously acquired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Board may amend, suspend or terminate the Amended Plan at any time and for any reason. Amendments to the Amended Plan will be submitted for stockholder approval if an amendment increases the maximum number of shares available under the Amended Plan. No amendment to the Amended Plan or awards may adversely affect in any material way any outstanding award without the consent of the holder of such award. In addition, stockholder approval will generally be required for any amendment that reduces the exercise price of an option or stock appreciation right.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Events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make appropriate adjustments in outstanding awards and the number of shares available for issuance under the Amended Plan, including the individual limitations on awards, to reflect recapitalizations, reorganizations, mergers, spin-offs, combinations, repurchases, exchange of shares or other securities, or other similar corporate transactions. In addition, the Compensation Committee may take such other action with respect to outstanding awards that it deems appropriate, including termination of the award in exchange for cash or replacement of such award with other rights or property. Unless provided otherwise in an applicable award agreement, in the event of a “change in control” (as defined in the Amended Plan), the vesting of all awards will be accelerated and any performance criteria will be deemed to be achieved to the maximum extent 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Repricing Prohibited</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Neither the Board nor the Compensation Committee may provide for the repricing or exchange of underwater options or stock appreciation rights for cash consideration, other awards, or options or stock appreciation rights with an exercise price that is less than the original exercise price of such underwater options or stock appreciation rights, unless such repricing or exchange receives the approval of a majority of the holders of our common stock.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is for general information only and is intended to summarize briefly the U.S. federal tax consequences to participants arising from participation in the Amended Plan. This description is based on current law, which is subject to change (possibly retroactively). The tax treatment of participants in the Amended Plan may vary depending on the particular situation and therefore may be subject to special rules not discussed below. No attempt has been made to discuss any potential foreign, state or local tax consequences.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Incentive Options; Nonqualified Options; Stock Appreciation Rights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Participants will not realize taxable income upon the grant of a nonqualified stock option or a stock appreciation right. Upon the exercise of a nonqualified stock option or a stock appreciation right, a participant will recognize ordinary compensation income (subject to withholding) in an amount equal to the excess of (1) the amount of cash and the fair market value of the common stock received, over (2) the exercise price (if any) paid. A participant will generally have a tax basis in any shares of common stock received pursuant to the exercise of a stock appreciation right, or pursuant to the cash exercise of a nonqualified stock option, that equals the fair market value of such shares on the date of exercise. Subject to the discussion under “Federal Income Tax Consequences—Tax Code Limitations on Deductibility” below, we or one of our subsidiaries (as applicable) will be entitled to a deduction for federal income tax purposes that corresponds as to timing and amount with the compensation income recognized by a participant under the rules described above.</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Participants eligible to receive an incentive stock option will not recognize taxable income on the grant of an incentive stock option. Upon the exercise of an incentive stock option, a participant will not recognize taxable income, although the excess of the fair market value of the shares of common stock received upon exercise of the incentive stock option (“ISO Stock”) over the exercise price will increase the alternative minimum taxable income of the participant, which may cause such participant to incur alternative minimum tax. The payment of any alternative minimum tax attributable to the exercise of an incentive stock option would be allowed as a credit against the participant’s regular tax liability in a later year to the extent the participant’s regular tax liability is in excess of the alternative minimum tax for that year.</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Upon the disposition of ISO Stock that has been held for the requisite holding period (generally, at least two years from the date of grant and one year from the date of exercise of the incentive stock option), a participant will generally recognize capital gain (or loss) equal to the excess (or shortfall) of the amount received in the disposition over the exercise price paid by the participant for the ISO Stock. However, if a participant disposes of ISO Stock that has not been held for the requisite holding period (a “Disqualifying Disposition”), the participant will recognize ordinary compensation income in the year of the Disqualifying Disposition in an amount equal to the amount by which the fair market value of the ISO Stock at the time of exercise of the incentive stock option (or, if less, the amount realized in the case of an arm’s-length disposition to an unrelated party) exceeds the exercise price paid by the participant for such ISO Stock. A participant would also recognize capital gain to the extent the amount realized in the Disqualifying Disposition exceeds the fair market value of the ISO Stock on the exercise date. If the exercise price paid for the ISO Stock exceeds the amount realized (in the case of an arm’s-length disposition to an unrelated party), such excess would ordinarily constitute a capital loss.</w:t>
      </w:r>
    </w:p>
    <w:p>
      <w:pPr>
        <w:spacing w:after="0" w:line="18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Generally, we will not be entitled to any federal income tax deduction upon the grant or exercise of an incentive stock option, unless a participant makes a Disqualifying Disposition of the ISO Stock. If a participant makes a Disqualifying Disposition, we will then, subject to the discussion below under “Federal Income Tax Consequences—Tax Code Limitations on Deductibility,” be entitled to a tax deduction that corresponds as to timing and amount with the compensation income recognized by a participant under the rules described in the preceding paragraph.</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current rulings, if a participant transfers previously held shares of common stock (other than ISO Stock that has not been held for the requisite holding period) in satisfaction of part or all of the exercise price of a nonqualified stock option or incentive stock option, no additional gain will be recognized on the transfer of such previously held shares in satisfaction of the nonqualified stock option or incentive stock option exercise price (although a participant would still recognize ordinary compensation income upon exercise of a nonqualified stock option in the manner described above). Moreover, that number of shares of common stock received upon exercise that equals the number of shares of previously held common stock surrendered in satisfaction of the nonqualified stock option or incentive stock option exercise price will have a tax basis that equals, and a capital gains holding period that includes, the tax basis and capital gains holding period of the previously held shares of common stock surrendered in satisfaction of the nonqualified stock option or incentive stock option exercise price. Any additional shares of common stock received upon exercise will have a tax basis that equals the amount of cash (if any) paid by the participant, plus the amount of compensation income recognized by the participant under the rules described above. If a reload option is issued in connection with a participant’s transfer of previously held common stock in full or partial satisfaction of the exercise price of an nonqualified stock option or incentive stock option, the tax consequences of the reload option will be as provided above for a nonqualified stock option or incentive stock option, depending on whether the reload option itself is a nonqualified stock option or incentive stock option.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Internal Revenue Service (“IRS”) has not provided formal guidance on the income tax consequences of a transfer of nonqualified stock options (other than in the context of divorce) or stock appreciation rights. However, the IRS has informally indicated that after a transfer of stock options (other than in the context of divorce pursuant to a domestic relations order), the transferor will recognize income, which will be subject to withholding, and FICA/FUTA taxes will be collectible at the time the transferee exercises the stock options.</w:t>
      </w:r>
    </w:p>
    <w:p>
      <w:pPr>
        <w:spacing w:after="0" w:line="180"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 addition, if a participant transfers a vested nonqualified stock option to another person and retains no interest in or power over it, the transfer is treated as a completed gift. The amount of the transferor’s gift (or generation-skipping transfer, if the gift is to a grandchild or later generation) equals the value of the nonqualified stock option at the time of the gift. The value of the nonqualified stock option may be affected by several factors, including the difference between the exercise price and the fair market value of the stock, the potential for future appreciation or depreciation of the stock, the time period of the nonqualified stock option and the illiquidity of the nonqualified stock option. The transferor will be subject to a federal gift tax, which will be limited by (1) the annual exclusion of $19,000 (for 2025, subject to adjustment in future years) per donee, (2) the transferor’s lifetime unified credit or (3) the marital or charitable deduction rules. The gifted nonqualified stock option will not be included in the participant’s gross estate for purposes of the federal estate tax or the generation-skipping transfer tax.</w:t>
      </w:r>
    </w:p>
    <w:p>
      <w:pPr>
        <w:spacing w:after="0" w:line="19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This favorable tax treatment for vested nonqualified stock options has not been extended to unvested nonqualified stock options. Whether such consequences apply to unvested nonqualified stock options is uncertain, and the gift tax implications of such a transfer are a risk the transferor will bear upon such a disposition. The IRS has not specifically addressed the tax consequences of a transfer of stock appreciation rights.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Phantom, Stock Awards; Restricted Stock Awards; Stock Awards; Cash Awards</w:t>
      </w:r>
    </w:p>
    <w:p>
      <w:pPr>
        <w:spacing w:after="0" w:line="229" w:lineRule="exact"/>
        <w:rPr>
          <w:sz w:val="20"/>
          <w:szCs w:val="20"/>
          <w:color w:val="auto"/>
        </w:rPr>
      </w:pPr>
    </w:p>
    <w:p>
      <w:pPr>
        <w:ind w:right="60" w:firstLine="648"/>
        <w:spacing w:after="0" w:line="271" w:lineRule="auto"/>
        <w:rPr>
          <w:sz w:val="20"/>
          <w:szCs w:val="20"/>
          <w:color w:val="auto"/>
        </w:rPr>
      </w:pPr>
      <w:r>
        <w:rPr>
          <w:rFonts w:ascii="Times New Roman" w:cs="Times New Roman" w:eastAsia="Times New Roman" w:hAnsi="Times New Roman"/>
          <w:sz w:val="17"/>
          <w:szCs w:val="17"/>
          <w:color w:val="auto"/>
        </w:rPr>
        <w:t>A participant will recognize ordinary compensation income upon receipt of cash pursuant to a cash award or, if earlier, at the time the cash is otherwise made available for the participant to draw upon. A participant will not have taxable income at the time of grant of an award in the form of a phantom stock award denominated in shares, but rather, will generally recognize ordinary compensation income at the time he receives cash or shares in satisfaction of the phantom stock award in an amount equal to the cash or the fair market value of the shares received. In general, a participant will recognize ordinary compensation income as a result of the receipt of shares pursuant to a restricted stock award, or stock award in an amount equal to the fair market value of the shares when such shares are received; provided, however, that if the shares are not transferable and are subject to a substantial risk of forfeiture when received, a participant will recognize ordinary compensation income in an amount equal to the fair market value of the shares (1) when the shares first becomes transferable or no longer subject to a substantial risk of forfeiture in cases where a participant does not make an valid election under Section 83(b) of the Code or (2) when the shares are received in cases where a participant makes a valid election under Section 83(b) of the Code.</w:t>
      </w:r>
    </w:p>
    <w:p>
      <w:pPr>
        <w:spacing w:after="0" w:line="173" w:lineRule="exact"/>
        <w:rPr>
          <w:sz w:val="20"/>
          <w:szCs w:val="20"/>
          <w:color w:val="auto"/>
        </w:rPr>
      </w:pPr>
    </w:p>
    <w:p>
      <w:pPr>
        <w:ind w:right="40" w:firstLine="648"/>
        <w:spacing w:after="0" w:line="277" w:lineRule="auto"/>
        <w:rPr>
          <w:sz w:val="20"/>
          <w:szCs w:val="20"/>
          <w:color w:val="auto"/>
        </w:rPr>
      </w:pPr>
      <w:r>
        <w:rPr>
          <w:rFonts w:ascii="Times New Roman" w:cs="Times New Roman" w:eastAsia="Times New Roman" w:hAnsi="Times New Roman"/>
          <w:sz w:val="17"/>
          <w:szCs w:val="17"/>
          <w:color w:val="auto"/>
        </w:rPr>
        <w:t>A participant will be subject to withholding for federal, and generally for state and local, income taxes at the time he recognizes income under the rules described above for common stock or cash received. Dividends that are received by a participant before the common stock is taxed to the participant under the rules described in the preceding paragraph are taxed as additional compensation, not as dividend income. The tax basis in the common stock received by a participant will equal the amount recognized by him as compensation income under the rules described in the preceding paragraph, and the participant’s capital gains holding period in those shares will commence on the later of the date the shares are received or the restrictions lapse.</w:t>
      </w:r>
    </w:p>
    <w:p>
      <w:pPr>
        <w:spacing w:after="0" w:line="168"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immediately below, we or one of our subsidiaries (as applicable) will be entitled to a deduction for federal income tax purposes that corresponds as to timing and amount with the compensation income recognized by a participant under the rules described above.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Code Limitations on Deductibility</w:t>
      </w:r>
    </w:p>
    <w:p>
      <w:pPr>
        <w:spacing w:after="0" w:line="22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In order for the amounts described above to be deductible, such amounts must constitute reasonable compensation for services rendered or to be rendered and must be ordinary and necessary business expenses.</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Our ability to deduct compensation to a current or former “covered employee” (which includes the Chief Executive Officer, the Chief Financial Officer, and the next three highest-paid employees) in excess of $1,000,000 is limited by Section 162(m) of the Code. As a result, we are generally unable to take a deduction for any compensation paid to our current or former Named Executive Officers in excess of $1,000,000. In 2027, the definition of “covered employee” under Section 162(m) of the Code will expand to include an additional five of the highest-paid employees.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Finally, the “Tax Cuts and Jobs Act,” enacted in 2017, eliminated the “performance-based” exception under Section 162(m) of the Code for deducting compensation to current or former “covered employees” in excess of $1,000,000. As a result, we are generally no longer able to take a deduction for any compensation paid to our current or former Named Executive Officers in excess of $1,000,000.</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Requirements Regarding Deferred Compensation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of the benefits under the Amended Plan may constitute “deferred compensation” within the meaning of Section 409A of the Code. Failure to comply with the requirements of Section 409A regarding the timing of payment distributions could result in the affected participants being required to recognize ordinary income for federal tax purposes earlier than expected, and being subject to substantial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and Previously Awarded Options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awards, if any, that will be made to eligible persons under the Amended Plan are subject to the discretion of the Compensation Committee and, therefore, we cannot currently determine the benefits or number of shares subject to awards that may be granted in the future to our executive officers, employees and directors under the Amended Plan. Therefore, a New Plan Benefits Table is not provided.</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made annual equity awards under the Plan during fiscal 2025 to certain Named Executive Officers, non-employee directors and other eligible employees. The fiscal 2025 grants to the Named Executive Officers are reflected in the “Outstanding Equity Awards at Fiscal 2025 Year-End” table in the “Executive Compensation” section of this proxy statement.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the Named Executive Officers and certain other groups, all shares underlying outstanding stock options awarded before May 19, 2025, under the Plan. No awards have been granted under the Plan to any associate of a non-employee director, nominee or executive officer, and no other person has been granted 5% or more of the total amount of awards granted under the Plan; thus, the table below does not include these individuals.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3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Number of Stock Options Granted</w:t>
            </w:r>
          </w:p>
        </w:tc>
      </w:tr>
      <w:tr>
        <w:trPr>
          <w:trHeight w:val="209"/>
        </w:trPr>
        <w:tc>
          <w:tcPr>
            <w:tcW w:w="73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r>
      <w:tr>
        <w:trPr>
          <w:trHeight w:val="191"/>
        </w:trPr>
        <w:tc>
          <w:tcPr>
            <w:tcW w:w="73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Robert P. Capps</w:t>
            </w:r>
          </w:p>
        </w:tc>
        <w:tc>
          <w:tcPr>
            <w:tcW w:w="3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75,000</w:t>
            </w:r>
          </w:p>
        </w:tc>
      </w:tr>
      <w:tr>
        <w:trPr>
          <w:trHeight w:val="234"/>
        </w:trPr>
        <w:tc>
          <w:tcPr>
            <w:tcW w:w="73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Chief Executive Officer</w:t>
            </w:r>
          </w:p>
        </w:tc>
        <w:tc>
          <w:tcPr>
            <w:tcW w:w="3920" w:type="dxa"/>
            <w:vAlign w:val="bottom"/>
            <w:tcBorders>
              <w:bottom w:val="single" w:sz="8" w:color="auto"/>
              <w:right w:val="single" w:sz="8" w:color="auto"/>
            </w:tcBorders>
          </w:tcPr>
          <w:p>
            <w:pPr>
              <w:spacing w:after="0"/>
              <w:rPr>
                <w:sz w:val="20"/>
                <w:szCs w:val="20"/>
                <w:color w:val="auto"/>
              </w:rPr>
            </w:pPr>
          </w:p>
        </w:tc>
      </w:tr>
      <w:tr>
        <w:trPr>
          <w:trHeight w:val="191"/>
        </w:trPr>
        <w:tc>
          <w:tcPr>
            <w:tcW w:w="7320" w:type="dxa"/>
            <w:vAlign w:val="bottom"/>
            <w:tcBorders>
              <w:left w:val="single" w:sz="8" w:color="auto"/>
              <w:right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color w:val="auto"/>
              </w:rPr>
              <w:t>Mark A. Cox</w:t>
            </w:r>
          </w:p>
        </w:tc>
        <w:tc>
          <w:tcPr>
            <w:tcW w:w="3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61,000</w:t>
            </w:r>
          </w:p>
        </w:tc>
      </w:tr>
      <w:tr>
        <w:trPr>
          <w:trHeight w:val="234"/>
        </w:trPr>
        <w:tc>
          <w:tcPr>
            <w:tcW w:w="73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c>
          <w:tcPr>
            <w:tcW w:w="3920" w:type="dxa"/>
            <w:vAlign w:val="bottom"/>
            <w:tcBorders>
              <w:bottom w:val="single" w:sz="8" w:color="auto"/>
              <w:right w:val="single" w:sz="8" w:color="auto"/>
            </w:tcBorders>
          </w:tcPr>
          <w:p>
            <w:pPr>
              <w:spacing w:after="0"/>
              <w:rPr>
                <w:sz w:val="20"/>
                <w:szCs w:val="20"/>
                <w:color w:val="auto"/>
              </w:rPr>
            </w:pPr>
          </w:p>
        </w:tc>
      </w:tr>
      <w:tr>
        <w:trPr>
          <w:trHeight w:val="210"/>
        </w:trPr>
        <w:tc>
          <w:tcPr>
            <w:tcW w:w="73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r>
      <w:tr>
        <w:trPr>
          <w:trHeight w:val="210"/>
        </w:trPr>
        <w:tc>
          <w:tcPr>
            <w:tcW w:w="7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136,000</w:t>
            </w:r>
          </w:p>
        </w:tc>
      </w:tr>
      <w:tr>
        <w:trPr>
          <w:trHeight w:val="210"/>
        </w:trPr>
        <w:tc>
          <w:tcPr>
            <w:tcW w:w="7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Directors as a Group (Other than Executive Officers)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172,500</w:t>
            </w:r>
          </w:p>
        </w:tc>
      </w:tr>
      <w:tr>
        <w:trPr>
          <w:trHeight w:val="209"/>
        </w:trPr>
        <w:tc>
          <w:tcPr>
            <w:tcW w:w="732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Employees (including Officers other than Executive Officers)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213,500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Stock Awards Plan has been approved by the security holders of the Company and is the only equity compensation plan maintained by the Company. The Company does not maintain an equity compensation plan that has not been approved by our security holders. The following table summarizes information about the Stock Awards Plan as of January 31, 2025, and May 19, 2025:</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4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January 31, 2025</w:t>
            </w:r>
          </w:p>
        </w:tc>
        <w:tc>
          <w:tcPr>
            <w:tcW w:w="18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May 19, 2025</w:t>
            </w:r>
          </w:p>
        </w:tc>
      </w:tr>
      <w:tr>
        <w:trPr>
          <w:trHeight w:val="209"/>
        </w:trPr>
        <w:tc>
          <w:tcPr>
            <w:tcW w:w="7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outstanding options, warrants and rights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621,000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573,500</w:t>
            </w:r>
          </w:p>
        </w:tc>
      </w:tr>
      <w:tr>
        <w:trPr>
          <w:trHeight w:val="210"/>
        </w:trPr>
        <w:tc>
          <w:tcPr>
            <w:tcW w:w="7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Weighted average exercise price of total number of outstanding options, warrants and rights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$12.52</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$11.78</w:t>
            </w:r>
          </w:p>
        </w:tc>
      </w:tr>
      <w:tr>
        <w:trPr>
          <w:trHeight w:val="210"/>
        </w:trPr>
        <w:tc>
          <w:tcPr>
            <w:tcW w:w="7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Weighted average remaining term of total number of outstanding options, warrants and rights (years)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8.06</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8.06</w:t>
            </w:r>
          </w:p>
        </w:tc>
      </w:tr>
      <w:tr>
        <w:trPr>
          <w:trHeight w:val="210"/>
        </w:trPr>
        <w:tc>
          <w:tcPr>
            <w:tcW w:w="7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outstanding full value awards</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7440" w:type="dxa"/>
            <w:vAlign w:val="bottom"/>
            <w:tcBorders>
              <w:left w:val="single" w:sz="8" w:color="auto"/>
              <w:right w:val="single" w:sz="8" w:color="auto"/>
            </w:tcBorders>
          </w:tcPr>
          <w:p>
            <w:pPr>
              <w:ind w:left="60"/>
              <w:spacing w:after="0" w:line="191" w:lineRule="exact"/>
              <w:rPr>
                <w:sz w:val="20"/>
                <w:szCs w:val="20"/>
                <w:color w:val="auto"/>
              </w:rPr>
            </w:pPr>
            <w:r>
              <w:rPr>
                <w:rFonts w:ascii="Times New Roman" w:cs="Times New Roman" w:eastAsia="Times New Roman" w:hAnsi="Times New Roman"/>
                <w:sz w:val="18"/>
                <w:szCs w:val="18"/>
                <w:color w:val="auto"/>
              </w:rPr>
              <w:t>Number of common shares remaining available for future issuance (excluding outstanding options,</w:t>
            </w:r>
          </w:p>
        </w:tc>
        <w:tc>
          <w:tcPr>
            <w:tcW w:w="1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29,623</w:t>
            </w:r>
          </w:p>
        </w:tc>
        <w:tc>
          <w:tcPr>
            <w:tcW w:w="18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77,123</w:t>
            </w:r>
          </w:p>
        </w:tc>
      </w:tr>
      <w:tr>
        <w:trPr>
          <w:trHeight w:val="234"/>
        </w:trPr>
        <w:tc>
          <w:tcPr>
            <w:tcW w:w="74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warrants and rights)</w:t>
            </w:r>
          </w:p>
        </w:tc>
        <w:tc>
          <w:tcPr>
            <w:tcW w:w="1920" w:type="dxa"/>
            <w:vAlign w:val="bottom"/>
            <w:tcBorders>
              <w:bottom w:val="single" w:sz="8" w:color="auto"/>
              <w:right w:val="single" w:sz="8" w:color="auto"/>
            </w:tcBorders>
          </w:tcPr>
          <w:p>
            <w:pPr>
              <w:spacing w:after="0"/>
              <w:rPr>
                <w:sz w:val="20"/>
                <w:szCs w:val="20"/>
                <w:color w:val="auto"/>
              </w:rPr>
            </w:pPr>
          </w:p>
        </w:tc>
        <w:tc>
          <w:tcPr>
            <w:tcW w:w="1880" w:type="dxa"/>
            <w:vAlign w:val="bottom"/>
            <w:tcBorders>
              <w:bottom w:val="single" w:sz="8" w:color="auto"/>
              <w:right w:val="single" w:sz="8" w:color="auto"/>
            </w:tcBorders>
          </w:tcPr>
          <w:p>
            <w:pPr>
              <w:spacing w:after="0"/>
              <w:rPr>
                <w:sz w:val="20"/>
                <w:szCs w:val="20"/>
                <w:color w:val="auto"/>
              </w:rPr>
            </w:pPr>
          </w:p>
        </w:tc>
      </w:tr>
      <w:tr>
        <w:trPr>
          <w:trHeight w:val="209"/>
        </w:trPr>
        <w:tc>
          <w:tcPr>
            <w:tcW w:w="74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7,969,421</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7,969,421</w:t>
            </w:r>
          </w:p>
        </w:tc>
      </w:tr>
      <w:tr>
        <w:trPr>
          <w:trHeight w:val="426"/>
        </w:trPr>
        <w:tc>
          <w:tcPr>
            <w:tcW w:w="74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9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115"/>
        </w:trPr>
        <w:tc>
          <w:tcPr>
            <w:tcW w:w="74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shares present in person or represented by proxy at the Annual Meeting and entitled to vote is required to approve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Our Board recommends a vote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the approval of the Fifth Amendment to the Plan.</w:t>
      </w:r>
    </w:p>
    <w:p>
      <w:pPr>
        <w:spacing w:after="0" w:line="22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NAMED EXECUTIVE OFFICER COMPENSATION</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asking stockholders to approve, on an advisory basis, the compensation of our Named Executive Officers as disclosed in this proxy statement in accordance with the compensation disclosure rules of the Securities and Exchange Commission. Based on the stockholder vote on the frequency of an advisory vote on executive compensation that took place at the 2024 Annual Meeting, our Board determined to hold the vote on executive compensation annually until the next stockholder vote on the frequency of such advisory vote.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designed our compensation programs to achieve the following principal objectives:</w:t>
      </w:r>
    </w:p>
    <w:p>
      <w:pPr>
        <w:spacing w:after="0" w:line="2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How Our Executive Compensation</w:t>
      </w:r>
    </w:p>
    <w:p>
      <w:pPr>
        <w:spacing w:after="0" w:line="31" w:lineRule="exact"/>
        <w:rPr>
          <w:sz w:val="20"/>
          <w:szCs w:val="20"/>
          <w:color w:val="auto"/>
        </w:rPr>
      </w:pPr>
    </w:p>
    <w:p>
      <w:pPr>
        <w:ind w:left="296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Objective</w:t>
      </w:r>
      <w:r>
        <w:rPr>
          <w:sz w:val="20"/>
          <w:szCs w:val="20"/>
          <w:color w:val="auto"/>
        </w:rPr>
        <w:tab/>
      </w:r>
      <w:r>
        <w:rPr>
          <w:rFonts w:ascii="Times New Roman" w:cs="Times New Roman" w:eastAsia="Times New Roman" w:hAnsi="Times New Roman"/>
          <w:sz w:val="18"/>
          <w:szCs w:val="18"/>
          <w:b w:val="1"/>
          <w:bCs w:val="1"/>
          <w:color w:val="auto"/>
        </w:rPr>
        <w:t>Program Achieves This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Providing a competitive compensation package that attracts, motivates and retains qualified and highly- skilled officers who are key to our long-term success</w:t>
      </w:r>
    </w:p>
    <w:p>
      <w:pPr>
        <w:spacing w:after="0" w:line="20" w:lineRule="exact"/>
        <w:rPr>
          <w:sz w:val="20"/>
          <w:szCs w:val="20"/>
          <w:color w:val="auto"/>
        </w:rPr>
      </w:pPr>
      <w:r>
        <w:rPr>
          <w:sz w:val="20"/>
          <w:szCs w:val="20"/>
          <w:color w:val="auto"/>
        </w:rPr>
        <w:br w:type="column"/>
      </w:r>
    </w:p>
    <w:p>
      <w:pPr>
        <w:ind w:right="180"/>
        <w:spacing w:after="0" w:line="256" w:lineRule="auto"/>
        <w:rPr>
          <w:sz w:val="20"/>
          <w:szCs w:val="20"/>
          <w:color w:val="auto"/>
        </w:rPr>
      </w:pPr>
      <w:r>
        <w:rPr>
          <w:rFonts w:ascii="Times New Roman" w:cs="Times New Roman" w:eastAsia="Times New Roman" w:hAnsi="Times New Roman"/>
          <w:sz w:val="18"/>
          <w:szCs w:val="18"/>
          <w:color w:val="auto"/>
        </w:rPr>
        <w:t>We analyze compensation packages provided to the officers of other companies in our industry and with whom we compete for executive talent. Based on this analysis, we attempt to provide a base compensation package that is competitive with those companies.</w:t>
      </w:r>
    </w:p>
    <w:p>
      <w:pPr>
        <w:spacing w:after="0" w:line="200" w:lineRule="exact"/>
        <w:rPr>
          <w:sz w:val="20"/>
          <w:szCs w:val="20"/>
          <w:color w:val="auto"/>
        </w:rPr>
      </w:pPr>
    </w:p>
    <w:p>
      <w:pPr>
        <w:sectPr>
          <w:pgSz w:w="11900" w:h="16838" w:orient="portrait"/>
          <w:cols w:equalWidth="0" w:num="2">
            <w:col w:w="6600" w:space="160"/>
            <w:col w:w="4480"/>
          </w:cols>
          <w:pgMar w:left="320" w:top="121" w:right="339" w:bottom="1440" w:gutter="0" w:footer="0" w:header="0"/>
          <w:type w:val="continuous"/>
        </w:sectPr>
      </w:pPr>
    </w:p>
    <w:p>
      <w:pPr>
        <w:spacing w:after="0" w:line="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Rewarding individual performance while ensuring a meaningful link between our operational performance and the total compensation received by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2087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8" w:lineRule="auto"/>
        <w:rPr>
          <w:sz w:val="20"/>
          <w:szCs w:val="20"/>
          <w:color w:val="auto"/>
        </w:rPr>
      </w:pPr>
      <w:r>
        <w:rPr>
          <w:rFonts w:ascii="Times New Roman" w:cs="Times New Roman" w:eastAsia="Times New Roman" w:hAnsi="Times New Roman"/>
          <w:sz w:val="18"/>
          <w:szCs w:val="18"/>
          <w:color w:val="auto"/>
        </w:rPr>
        <w:t>We consider our overall financial performance and the performance of each individual when determining cash incentive awards and paid annual cash bonus awards for fiscal 2025. A meaningful portion of incentive compensation consists of long-term equity awards.</w:t>
      </w:r>
    </w:p>
    <w:p>
      <w:pPr>
        <w:spacing w:after="0" w:line="197"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Avoiding policies and practices that create risks that might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208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Avoiding the creation of an environment that might cause undue pressure to meet specific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2087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6" w:lineRule="auto"/>
        <w:rPr>
          <w:sz w:val="20"/>
          <w:szCs w:val="20"/>
          <w:color w:val="auto"/>
        </w:rPr>
      </w:pPr>
      <w:r>
        <w:rPr>
          <w:rFonts w:ascii="Times New Roman" w:cs="Times New Roman" w:eastAsia="Times New Roman" w:hAnsi="Times New Roman"/>
          <w:sz w:val="18"/>
          <w:szCs w:val="18"/>
          <w:color w:val="auto"/>
        </w:rPr>
        <w:t>We do not award multi-year guaranteed bonuses or disproportionate equity grants that provide unlimited upside with no downside. We do not utilize specific performance metrics in determining compensation, other than setting a minimum EBITDA performance goal for payout of our fiscal 2025 cash bonuses, which was achieved.</w:t>
      </w:r>
    </w:p>
    <w:p>
      <w:pPr>
        <w:spacing w:after="0" w:line="20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do not use specific prospective financial targets in determining compensation awards, other than setting a minimum EBITDA performance goal for payout of our fiscal 2025 cash bonuses, which was achieved.</w:t>
      </w:r>
    </w:p>
    <w:p>
      <w:pPr>
        <w:spacing w:after="0" w:line="180" w:lineRule="exact"/>
        <w:rPr>
          <w:sz w:val="20"/>
          <w:szCs w:val="20"/>
          <w:color w:val="auto"/>
        </w:rPr>
      </w:pPr>
    </w:p>
    <w:p>
      <w:pPr>
        <w:sectPr>
          <w:pgSz w:w="11900" w:h="16838" w:orient="portrait"/>
          <w:cols w:equalWidth="0" w:num="2">
            <w:col w:w="6640" w:space="120"/>
            <w:col w:w="4480"/>
          </w:cols>
          <w:pgMar w:left="320" w:top="121" w:right="339" w:bottom="1440" w:gutter="0" w:footer="0" w:header="0"/>
          <w:type w:val="continuous"/>
        </w:sect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We do not engage in certain negative compensation practices, including the following: (1) the re-pricing of underwater stock options; (2) the provision of excessive perquisites; (3) the use of liberal change in control provisions; or (4) the provision of tax gross-ups.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urge stockholders to read the “Executive Compensation” section of this proxy statement, which describes in more detail how our executive compensation policies and procedures operate and are designed to achieve our compensation objectives, and to review the Summary Compensation Table and other related compensation tables and narratives, which provide detailed information regarding the compensation of our Named Executive Officers for fiscal 2025. The Compensation Committee and our Board believe that the policies and procedures articulated in the section titled “Executive Compensation” are effective in achieving our goals and that the compensation of our Named Executive Officers reported in this proxy statement has contributed to our long-term success.</w:t>
      </w:r>
    </w:p>
    <w:p>
      <w:pPr>
        <w:spacing w:after="0" w:line="18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we are asking stockholders to adopt the following resolution at the 2025 Annual Meeting of Stockholders: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MIND Technology, Inc. approve, on an advisory basis, the compensation of MIND Technology, Inc.’s Named Executive Officers in MIND Technology, Inc.’s Proxy Statement for the 2025 Annual Meeting pursuant to the compensation disclosure rules of the Securities and Exchange Commission, including the tabular and narrative disclosure set forth in the section titled “Executive Compensation".</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This advisory vote, commonly referred to as a “say-on-pay” vote, is not binding on our Board or our Compensation Committee, and will not overrule any decisions made by our Board or our Compensation Committee, or require our Board or its Compensation Committee to take any action. Although the vote is non-binding, the Compensation Committee will take into account the outcome of the vote when considering future executive compensation decisions. In particular, to the extent there is any significant vote against our Named Executive Officers’ compensation as disclosed in this proxy statement, we will consider our stockholders’ concerns and the Compensation Committee will evaluate whether any actions are necessary to address those concerns.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shares present in person or represented by proxy at the Annual Meeting and entitled to vote is required to approve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Abstentions will have the same practical effect as a vote against this proposal.</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adoption of the advisory resolution approving the compensation of our Named Executive Officers.</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4: RATIFICATION OF THE SELECTION OF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Moss Adams LLP as our independent registered public accounting firm to conduct our audit for the fiscal year ending January 31, 2026.</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engagement of Moss Adams LLP has been recommended by the Audit Committee and approved by our Board. The Audit Committee has reviewed and discussed the audited consolidated financial statements included in our Annual Report on Form 10-K for the fiscal year ended January 31, 2025, and has recommended, and our Board has approved, their inclusion therein. See “Audit Committee Report” included elsewhere in this proxy statement.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Although stockholder ratification of the selection of Moss Adams LLP is not required, the Audit Committee and our Board consider it desirable for our stockholders to vote upon this selection. Even if the selection is ratified, the Audit Committee may, in its discretion, direct the appointment of a different independent registered public accounting firm at any time during the year if it believes that such a change would be in the best interests of our stockholders and us.</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One or more representatives of Moss Adams LLP are expected to be present at the Annual Meeting and will have the opportunity to make a statement if they desire to do so. The representatives of Moss Adams LLP are expected to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shares present in person or represented by proxy at the Annual Meeting and entitled to vote is required to approve this proposal. Brokers have discretion to vote on this proposal without your instruction. If you do not instruct your broker how to vote on this proposal, your broker will be permitted to vote your shares in its discretion on this proposal. As a result, we do not expect any broker non-votes in connection with this proposal. Abstentions will have the same practical effect as a vote against this proposal.</w:t>
      </w:r>
    </w:p>
    <w:p>
      <w:pPr>
        <w:spacing w:after="0" w:line="392" w:lineRule="exact"/>
        <w:rPr>
          <w:sz w:val="20"/>
          <w:szCs w:val="20"/>
          <w:color w:val="auto"/>
        </w:rPr>
      </w:pPr>
    </w:p>
    <w:p>
      <w:pPr>
        <w:jc w:val="center"/>
        <w:ind w:lef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the selection of Moss Adams LLP as our independent registered public accounting firm for the fiscal year ending January 31, 2026.</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 OF MOSS ADAMS LLP</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audit fees, audit-related fees and tax fees billed or expected to be billed by Moss Adams LLP, our independent registered public accounting firm, for the fiscal years ended January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43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376,700</w:t>
            </w:r>
          </w:p>
        </w:tc>
      </w:tr>
      <w:tr>
        <w:trPr>
          <w:trHeight w:val="209"/>
        </w:trPr>
        <w:tc>
          <w:tcPr>
            <w:tcW w:w="4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Fees</w:t>
            </w:r>
          </w:p>
        </w:tc>
        <w:tc>
          <w:tcPr>
            <w:tcW w:w="330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395,750</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376,700</w:t>
            </w:r>
          </w:p>
        </w:tc>
        <w:tc>
          <w:tcPr>
            <w:tcW w:w="10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Includes the audit of our annual consolidated financial statements and the review of our Quarterly Reports on Form 10-Q.</w:t>
      </w:r>
    </w:p>
    <w:p>
      <w:pPr>
        <w:spacing w:after="0" w:line="200" w:lineRule="exact"/>
        <w:rPr>
          <w:sz w:val="20"/>
          <w:szCs w:val="20"/>
          <w:color w:val="auto"/>
        </w:rPr>
      </w:pPr>
    </w:p>
    <w:p>
      <w:pPr>
        <w:spacing w:after="0" w:line="26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fees billed by Moss Adams LLP for fiscal years ended January 31, 2025 and 2024 that would constitute “Audit-Related Fees”, “Tax Fees” or “Other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also has approved a policy that requires committee pre-approval of the compensation and terms of service for audit services and any permitted non-audit services based on ranges of fees, and any changes in terms, conditions and fees resulting from changes in audit scope or other matters. Any proposed audit or non-audit services exceeding the pre-approved fee ranges require additional pre-approval by the Audit Committee or its chairman. All the above fees and services were pre-approved pursuant to this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was established to implement and to support the oversight function of the Board of Directors with respect to the financial reporting process, accounting policies, internal controls and independent registered public accounting firm of MIND Technology, Inc.</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in its business judgment, has determined that each of Messrs. Baden, Hilarides and Glanville is an independent director, as that term is defined in Rule 5605 of the NASDAQ Listing Standards, and meets the Securities and Exchange Commission’s additional independence requirements for members of audit committees. In addition, the Board of Directors has determined that each member of the Audit Committee is financially literate, and that Mr. Glanville has the necessary accounting and financial expertise to serve as chairman. The Board of Directors has determined that each of the members of the Audit Committee is an “audit committee financial expert” following a determination that they each met the criteria for such designation under the Securities and Exchange Commission’s rules and regulations.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fulfilling its responsibilities, the Audit Committee:</w:t>
      </w:r>
    </w:p>
    <w:p>
      <w:pPr>
        <w:spacing w:after="0" w:line="225" w:lineRule="exact"/>
        <w:rPr>
          <w:sz w:val="20"/>
          <w:szCs w:val="20"/>
          <w:color w:val="auto"/>
        </w:rPr>
      </w:pPr>
    </w:p>
    <w:p>
      <w:pPr>
        <w:ind w:left="1140" w:right="120" w:hanging="322"/>
        <w:spacing w:after="0" w:line="261"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contained in MIND Technology, Inc.’s Annual Report on Form 10-K for the fiscal year ended January 31, 2025, with management and the independent registered public accounting firm, Moss Adams LLP;</w:t>
      </w:r>
    </w:p>
    <w:p>
      <w:pPr>
        <w:ind w:left="1140" w:right="480" w:hanging="322"/>
        <w:spacing w:after="0" w:line="250"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registered public accounting firm the matters required under the applicable requirements of the Public Company Accounting Oversight Board and the Securities and Exchange Commission;</w:t>
      </w:r>
    </w:p>
    <w:p>
      <w:pPr>
        <w:ind w:left="1140" w:right="180" w:hanging="322"/>
        <w:spacing w:after="0" w:line="265" w:lineRule="auto"/>
        <w:tabs>
          <w:tab w:leader="none" w:pos="11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from the independent registered public accounting firm the written disclosures and the letter required by applicable requirements of the Public Company Accounting Oversight Board regarding the independent accountant’s communications with the audit committee concerning independence and discussed the independent registered public accounting firm’s independence with the firm; and</w:t>
      </w:r>
    </w:p>
    <w:p>
      <w:pPr>
        <w:ind w:left="1140" w:hanging="322"/>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compatibility of non-audit services with the independent registered public accounting firm’s independence.</w:t>
      </w:r>
    </w:p>
    <w:p>
      <w:pPr>
        <w:spacing w:after="0" w:line="234"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of Directors that the audited financial statements be included in MIND Technology, Inc.’s Annual Report on Form 10-K for the fiscal year ended January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Audit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S. Glanville (Chairman)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 Hilarides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Alan P. Baden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ANNUAL REPORT</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 copy of our 2025 Annual Report to Stockholders, which consists of our Annual Report on Form 10-K for the fiscal year ended January 31, 2025, accompanies this proxy statement. Except for the financial statements included in the 2025 Annual Report that are specifically incorporated by reference herein, the 2025 Annual Report is not incorporated in this proxy statement and is not to be deemed part of this proxy soliciting material.</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We have filed our Form 10-K for the fiscal year ended January 31, 2025 with the Securities and Exchange Commission. It is available free of charge at the Securities and Exchange Commission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web 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and our website at </w:t>
      </w:r>
      <w:r>
        <w:rPr>
          <w:rFonts w:ascii="Times New Roman" w:cs="Times New Roman" w:eastAsia="Times New Roman" w:hAnsi="Times New Roman"/>
          <w:sz w:val="18"/>
          <w:szCs w:val="18"/>
          <w:b w:val="1"/>
          <w:bCs w:val="1"/>
          <w:i w:val="1"/>
          <w:iCs w:val="1"/>
          <w:color w:val="auto"/>
        </w:rPr>
        <w:t>www.mind-technology.com</w:t>
      </w:r>
      <w:r>
        <w:rPr>
          <w:rFonts w:ascii="Times New Roman" w:cs="Times New Roman" w:eastAsia="Times New Roman" w:hAnsi="Times New Roman"/>
          <w:sz w:val="18"/>
          <w:szCs w:val="18"/>
          <w:b w:val="1"/>
          <w:bCs w:val="1"/>
          <w:color w:val="auto"/>
        </w:rPr>
        <w:t>. Upon written request by a stockholder, we will mail, without charge, a copy of our Form 10-K, including the financial statements and financial statement schedules, but excluding exhibits to the Form 10-K. Exhibits to the Form 10-K are available upon payment of a reasonable fee, which is limited to our expenses in furnishing the requested exhibit. Such requests should be directed to our Corporate Secretary at MIND Technology, Inc., 2002 Timberloch Place, Suite 550, The Woodlands, Texas 77380-1187.</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persons who beneficially own more than 10% of the Company’s common stock (collectively, “Reporting Persons”) to file with the SEC initial reports of ownership and changes in ownership of the Company’s common stock. Based solely on its review of the copies of such reports received or written representations from certain Reporting Persons that no other reports were required, the Company believes that during its fiscal year ended January 31, 2025, all filing requirements applicable to the Reporting Persons were timely met.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Securities and Exchange Commission’s rules and regulations, stockholders interested in submitting proposals for inclusion in our proxy materials and for presentation at our 2026 Annual Meeting may do so by following the procedures set forth in Rule 14a-8 under the Exchange Act. In general, stockholder proposals must be received by our Corporate Secretary at MIND Technology, Inc., 2002 Timberloch Place, Suite 550, The Woodlands, Texas 77380-1187 no later than February 2, 2026, to be eligible for inclusion in our proxy materials for the 2026 Annual Meeting. Any such stockholder proposal must meet the requirements set forth in Rule 14a-8.</w:t>
      </w:r>
    </w:p>
    <w:p>
      <w:pPr>
        <w:spacing w:after="0" w:line="183"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In addition to the requirements of Rule 14a-8, and as more specifically provided for in our Bylaws, in order for a nomination of persons for election to our Board or a proposal of business to be properly brought before the 2026 Annual Meeting, it must be either specified in the notice of the meeting given by our Corporate Secretary or otherwise brought before the meeting by or at the direction of our Board or by a stockholder entitled to vote and who complies with the notice procedures set forth in our Bylaws. A stockholder making a nomination for election to our Board or a proposal of business for the 2026 Annual Meeting must deliver proper notice to our Corporate Secretary not less than 90 days nor more than 120 days prior to the first anniversary of the preceding year’s annual meeting. Accordingly, to be timely for the 2026 Annual Meeting, the notice must be delivered no earlier than March 19, 2026 and no later than April 17, 2026. However, in the event that the date of the 2026 Annual Meeting is scheduled for a date that is more than 30 days before or more than 60 days after the anniversary date of the 2025 Annual Meeting or in the event that the 2025 Annual Meeting is not held, notice by the stockholder to be timely must be received not later than the close of business on the 10th day following the day on which such notice of the date of the annual meeting was mailed or such public disclosure was made.</w:t>
      </w:r>
    </w:p>
    <w:p>
      <w:pPr>
        <w:spacing w:after="0" w:line="19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Bylaws require, among other things, that the notice must contain prescribed information, including a description of the proposal and the reasons for bringing it before the meeting, the name and address of the stockholder and the class and number of shares owned beneficially, a description of all arrangements or understandings between or among the stockholder and any other person in connection with the proposal, any material interest of the stockholder in the proposal and the text of the proposal (including, if the proposal is for an amendment of our Bylaws, the language of the proposed amendment), as well as comply with other procedural requirements. If any of the foregoing information changes or requires supplementation, the stockholder must update the information at the times provided in our Bylaws.</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in order for stockholders to give timely notice of nominations for directors for inclusion on a universal proxy card in connection with the 2026 Annual Meeting, notice must be submitted by the same deadline as disclosed above under the advance notice provisions of our Bylaws, and must include the information in the notice required by our Bylaws and by Rule 14a-19 under the Exchange Act.</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 additional information about stockholder nominations and proposals, see “Corporate Governance—Director Nomination Process.”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Detailed information for submitting stockholder proposals and director nominations is available upon written request to our Corporate Secretary at MIND Technology, Inc., 2002 Timberloch Place, Suite 550, The Woodlands, Texas 77380-1187.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6130" cy="10153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130" cy="1015365"/>
                    </a:xfrm>
                    <a:prstGeom prst="rect">
                      <a:avLst/>
                    </a:prstGeom>
                    <a:noFill/>
                  </pic:spPr>
                </pic:pic>
              </a:graphicData>
            </a:graphic>
          </wp:anchor>
        </w:drawing>
      </w:r>
    </w:p>
    <w:p>
      <w:pPr>
        <w:spacing w:after="0" w:line="394" w:lineRule="exact"/>
        <w:rPr>
          <w:sz w:val="20"/>
          <w:szCs w:val="20"/>
          <w:color w:val="auto"/>
        </w:rPr>
      </w:pPr>
    </w:p>
    <w:p>
      <w:pPr>
        <w:jc w:val="center"/>
        <w:ind w:left="360" w:right="4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JULY 17, 2025.</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Notice of Annual Meeting of Stockholders, our Proxy Statement for the Annual Meeting and our Annual Report to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2025 are available at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www.viewproxy.com/MINDTechnology.com/2025</w:t>
      </w: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MIND TECHNOLOGY,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STOCK AWARDS PLAN</w:t>
      </w:r>
    </w:p>
    <w:p>
      <w:pPr>
        <w:spacing w:after="0" w:line="207" w:lineRule="exact"/>
        <w:rPr>
          <w:sz w:val="20"/>
          <w:szCs w:val="20"/>
          <w:color w:val="auto"/>
        </w:rPr>
      </w:pPr>
    </w:p>
    <w:p>
      <w:pPr>
        <w:ind w:right="260" w:firstLine="648"/>
        <w:spacing w:after="0" w:line="312" w:lineRule="auto"/>
        <w:rPr>
          <w:sz w:val="20"/>
          <w:szCs w:val="20"/>
          <w:color w:val="auto"/>
        </w:rPr>
      </w:pPr>
      <w:r>
        <w:rPr>
          <w:rFonts w:ascii="Times New Roman" w:cs="Times New Roman" w:eastAsia="Times New Roman" w:hAnsi="Times New Roman"/>
          <w:sz w:val="17"/>
          <w:szCs w:val="17"/>
          <w:color w:val="auto"/>
        </w:rPr>
        <w:t>This Fifth Amendment (this “Fifth Amendment”) to the MIND Technology, Inc. Amended and Restated Stock Awards Plan (as amended, the “Plan”), is made effective as of July 17, 2025 (the “Amendment Effective Date”), by MIND Technology, Inc., a Delaware corporation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adopted a prior version of the Plan effective as of May 30, 2006 (the “Prior Plan”) under which the Company became authorized to grant equity-based incentive awards to certain employees and service providers of the Company and its subsidiaries;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with approval of the Company’s stockholders and in connection with the amendment and restatement of the Prior Plan, adopted the Plan effective as of May 15, 2013;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20,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23,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15,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December 14, 2024;</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7.1 of the Plan provides that the Company’s board of directors (the “Board”), with the approval of the Company’s stockholders, may amend the Plan to increase the number of common shares, par value $0.01 per share, of the Company (the “Shares”) available for awards under the Plan and to extend the term of the Plan;</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now desires to amend the Plan to increase the number of Shares available for grant under the Plan by 400,000, subject to approval by the Company’s stockholders at the annual meeting of the Company on July 17, 2025.</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NOW, THEREFORE, the Plan shall be amended as of the Amendment Effective Date, subject to approval by the Company’s stockholders at the annual meeting on the same date, as set forth below:</w:t>
      </w:r>
    </w:p>
    <w:p>
      <w:pPr>
        <w:spacing w:after="0" w:line="162" w:lineRule="exact"/>
        <w:rPr>
          <w:sz w:val="20"/>
          <w:szCs w:val="20"/>
          <w:color w:val="auto"/>
        </w:rPr>
      </w:pPr>
    </w:p>
    <w:p>
      <w:pPr>
        <w:ind w:left="820" w:hanging="488"/>
        <w:spacing w:after="0"/>
        <w:tabs>
          <w:tab w:leader="none" w:pos="8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hereby deleted in its entirety and replaced with the following:</w:t>
      </w:r>
    </w:p>
    <w:p>
      <w:pPr>
        <w:spacing w:after="0" w:line="252" w:lineRule="exact"/>
        <w:rPr>
          <w:sz w:val="20"/>
          <w:szCs w:val="20"/>
          <w:color w:val="auto"/>
        </w:rPr>
      </w:pPr>
    </w:p>
    <w:p>
      <w:pPr>
        <w:ind w:left="980" w:right="20"/>
        <w:spacing w:after="0" w:line="252" w:lineRule="auto"/>
        <w:rPr>
          <w:sz w:val="20"/>
          <w:szCs w:val="20"/>
          <w:color w:val="auto"/>
        </w:rPr>
      </w:pPr>
      <w:r>
        <w:rPr>
          <w:rFonts w:ascii="Times New Roman" w:cs="Times New Roman" w:eastAsia="Times New Roman" w:hAnsi="Times New Roman"/>
          <w:sz w:val="18"/>
          <w:szCs w:val="18"/>
          <w:color w:val="auto"/>
        </w:rPr>
        <w:t>4.1. Shares Available. Subject to adjustment as provided below, the number of Shares that may be issued with respect to Awards granted under the Plan shall be 1,099,986 (the “Share Pool”). If an Award is forfeited or otherwise lapses, expires, terminates or is canceled without the actual delivery of Shares (Restricted Stock awards shall not be considered “delivered Shares” for this purpose) or is settled in cash, then the Shares covered by such Award, to the extent of such forfeiture, expiration, lapse, termination or cancellation, shall be restored to the Share Pool and again be Shares that may be issued with respect to Awards granted under the Plan; provided, that the restoration shall, as applicable, be on a one Share for one Share basis to the extent that such Award reduced the Share Pool on a one Share for one Share basis or be on a 1.60 Share for one Share basis to the extent that such Award reduced the Share Pool on a 1.60 Share for one Share basis. With respect to outstanding Awards granted prior to May 15, 2013, Shares tendered to or withheld by the Company to satisfy any tax withholding or exercise price obligations with respect to an Award shall be available for issuance under future Awards, subject to the overall limitation provided in the first sentence above. With respect to Awards granted on and after May 15, 2013: (i) Shares not issued or delivered as a result of the net settlement of an outstanding Option or SAR, (ii) Shares tendered or withheld by the Company to satisfy any tax withholding or exercise price obligations with respect to an outstanding Option or SAR, and (iii) Shares repurchased on the open market with the proceeds of an Option’s exercise price, will not, in each case, be available for issuance under future Awards. In the discretion of the Committee, all 1,099,986 Shares (as adjusted, if applicable) may be issued under the Plan pursuant to ISOs.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20" w:hanging="488"/>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 of the Plan is hereby deleted in its entirety and replaced with the following:</w:t>
      </w:r>
    </w:p>
    <w:p>
      <w:pPr>
        <w:spacing w:after="0" w:line="252" w:lineRule="exact"/>
        <w:rPr>
          <w:sz w:val="20"/>
          <w:szCs w:val="20"/>
          <w:color w:val="auto"/>
        </w:rPr>
      </w:pPr>
    </w:p>
    <w:p>
      <w:pPr>
        <w:ind w:left="980"/>
        <w:spacing w:after="0" w:line="277" w:lineRule="auto"/>
        <w:rPr>
          <w:sz w:val="20"/>
          <w:szCs w:val="20"/>
          <w:color w:val="auto"/>
        </w:rPr>
      </w:pPr>
      <w:r>
        <w:rPr>
          <w:rFonts w:ascii="Times New Roman" w:cs="Times New Roman" w:eastAsia="Times New Roman" w:hAnsi="Times New Roman"/>
          <w:sz w:val="17"/>
          <w:szCs w:val="17"/>
          <w:color w:val="auto"/>
        </w:rPr>
        <w:t>4.5. Individual Participant Limits. Subject to adjustment pursuant to the above Section 4.4, the maximum aggregate number of Shares that may be subject to Share-denominated Awards granted under the Plan to any individual during any fiscal year of the Company shall not exceed 100,000 shares. The method of counting such Shares shall conform to any requirements applicable to performance-based compensation under Section 162 (m) of the Code or the rules and regulations promulgated thereunder. The maximum amount of dollar-denominated Awards that may be granted to any individual during any fiscal year of the Company shall not exceed $2,000,000 as valued on the date of the grant.</w:t>
      </w:r>
    </w:p>
    <w:p>
      <w:pPr>
        <w:spacing w:after="0" w:line="168" w:lineRule="exact"/>
        <w:rPr>
          <w:sz w:val="20"/>
          <w:szCs w:val="20"/>
          <w:color w:val="auto"/>
        </w:rPr>
      </w:pPr>
    </w:p>
    <w:p>
      <w:pPr>
        <w:ind w:left="820" w:hanging="488"/>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the Plan shall continue to read in its current state.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authorized officer of the Corporation has executed and acknowledged this Certificate of Amendment</w:t>
      </w:r>
    </w:p>
    <w:p>
      <w:pPr>
        <w:spacing w:after="0" w:line="2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3708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084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92500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92500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161925</wp:posOffset>
            </wp:positionV>
            <wp:extent cx="6858000" cy="88722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0" w:num="1">
        <w:col w:w="10139"/>
      </w:cols>
      <w:pgMar w:left="3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1)"/>
      <w:numFmt w:val="decimal"/>
      <w:start w:val="2"/>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1)"/>
      <w:numFmt w:val="decimal"/>
      <w:start w:val="4"/>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1)"/>
      <w:numFmt w:val="decimal"/>
      <w:start w:val="1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2"/>
    </w:lvl>
  </w:abstractNum>
  <w:abstractNum w:abstractNumId="33">
    <w:nsid w:val="614FD4A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2025-05-30T15:25:44Z</dcterms:created>
  <dcterms:modified xsi:type="dcterms:W3CDTF">2025-05-30T15:25:44Z</dcterms:modified>
</cp:coreProperties>
</file>